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C888" w14:textId="77777777" w:rsidR="00437050" w:rsidRPr="00437050" w:rsidRDefault="00437050" w:rsidP="00437050">
      <w:pPr>
        <w:pStyle w:val="StronaTytuowaAutorzy"/>
        <w:spacing w:line="120" w:lineRule="atLeast"/>
        <w:rPr>
          <w:rFonts w:asciiTheme="majorHAnsi" w:hAnsiTheme="majorHAnsi"/>
          <w:sz w:val="22"/>
          <w:szCs w:val="22"/>
        </w:rPr>
      </w:pPr>
    </w:p>
    <w:p w14:paraId="7532CBE6" w14:textId="2F6A3771" w:rsidR="00E30D53" w:rsidRPr="00E55AF0" w:rsidRDefault="00E30D53" w:rsidP="00E30D53">
      <w:pPr>
        <w:jc w:val="center"/>
        <w:rPr>
          <w:b/>
          <w:bCs/>
          <w:sz w:val="32"/>
          <w:szCs w:val="32"/>
        </w:rPr>
      </w:pPr>
      <w:r w:rsidRPr="00E55AF0">
        <w:rPr>
          <w:b/>
          <w:bCs/>
          <w:sz w:val="32"/>
          <w:szCs w:val="32"/>
        </w:rPr>
        <w:t xml:space="preserve">MATEMATYKA - klasa </w:t>
      </w:r>
      <w:r>
        <w:rPr>
          <w:b/>
          <w:bCs/>
          <w:sz w:val="32"/>
          <w:szCs w:val="32"/>
        </w:rPr>
        <w:t>I</w:t>
      </w:r>
    </w:p>
    <w:p w14:paraId="38C538C8" w14:textId="77777777" w:rsidR="00E30D53" w:rsidRPr="00E55AF0" w:rsidRDefault="00E30D53" w:rsidP="00E30D53">
      <w:pPr>
        <w:jc w:val="center"/>
        <w:rPr>
          <w:b/>
          <w:bCs/>
          <w:sz w:val="32"/>
          <w:szCs w:val="32"/>
        </w:rPr>
      </w:pPr>
      <w:r w:rsidRPr="00E55AF0">
        <w:rPr>
          <w:b/>
          <w:bCs/>
          <w:sz w:val="32"/>
          <w:szCs w:val="32"/>
        </w:rPr>
        <w:t>Przedmiotowy System Oceniania</w:t>
      </w:r>
    </w:p>
    <w:p w14:paraId="01201ED0" w14:textId="77777777" w:rsidR="00E30D53" w:rsidRPr="00E55AF0" w:rsidRDefault="00E30D53" w:rsidP="00E30D53">
      <w:pPr>
        <w:jc w:val="center"/>
        <w:rPr>
          <w:b/>
          <w:bCs/>
          <w:sz w:val="32"/>
          <w:szCs w:val="32"/>
        </w:rPr>
      </w:pPr>
      <w:r w:rsidRPr="00E55AF0">
        <w:rPr>
          <w:b/>
          <w:bCs/>
          <w:sz w:val="32"/>
          <w:szCs w:val="32"/>
        </w:rPr>
        <w:t>wraz z określeniem wymagań edukacyjnych</w:t>
      </w:r>
    </w:p>
    <w:p w14:paraId="484AAFFC" w14:textId="77777777" w:rsidR="00E30D53" w:rsidRPr="00E55AF0" w:rsidRDefault="00E30D53" w:rsidP="00E30D53">
      <w:pPr>
        <w:jc w:val="center"/>
        <w:rPr>
          <w:b/>
          <w:bCs/>
          <w:sz w:val="32"/>
          <w:szCs w:val="32"/>
        </w:rPr>
      </w:pPr>
      <w:r w:rsidRPr="00E55AF0">
        <w:rPr>
          <w:b/>
          <w:bCs/>
          <w:sz w:val="32"/>
          <w:szCs w:val="32"/>
        </w:rPr>
        <w:t>Zakres podstawowy</w:t>
      </w:r>
    </w:p>
    <w:p w14:paraId="39631C20" w14:textId="77777777" w:rsidR="00E30D53" w:rsidRDefault="00E30D53" w:rsidP="00437050">
      <w:pPr>
        <w:pStyle w:val="Tekstpodstawowywcity"/>
        <w:spacing w:line="120" w:lineRule="atLeast"/>
        <w:ind w:firstLine="0"/>
        <w:jc w:val="both"/>
        <w:rPr>
          <w:rFonts w:asciiTheme="majorHAnsi" w:eastAsia="Calibri" w:hAnsiTheme="majorHAnsi"/>
          <w:iCs/>
          <w:sz w:val="22"/>
          <w:szCs w:val="22"/>
          <w:lang w:eastAsia="en-US"/>
        </w:rPr>
      </w:pPr>
    </w:p>
    <w:p w14:paraId="3B75CBFD" w14:textId="42B874BC"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11F6EAB" w14:textId="77777777" w:rsidR="00713358" w:rsidRPr="00437050" w:rsidRDefault="00713358" w:rsidP="00437050">
      <w:pPr>
        <w:spacing w:line="120" w:lineRule="atLeast"/>
        <w:jc w:val="both"/>
        <w:rPr>
          <w:rFonts w:asciiTheme="majorHAnsi" w:hAnsiTheme="majorHAnsi"/>
          <w:sz w:val="22"/>
          <w:szCs w:val="22"/>
        </w:rPr>
      </w:pPr>
    </w:p>
    <w:p w14:paraId="1DE5741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06A31AEE"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3A4CD302"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3047D68F"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4EFEF5D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2629A39A" w14:textId="77777777" w:rsidR="00713358" w:rsidRPr="00437050" w:rsidRDefault="00713358" w:rsidP="00437050">
      <w:pPr>
        <w:spacing w:line="120" w:lineRule="atLeast"/>
        <w:ind w:left="360"/>
        <w:jc w:val="both"/>
        <w:rPr>
          <w:rFonts w:asciiTheme="majorHAnsi" w:hAnsiTheme="majorHAnsi"/>
          <w:sz w:val="22"/>
          <w:szCs w:val="22"/>
        </w:rPr>
      </w:pPr>
    </w:p>
    <w:p w14:paraId="26761FC4"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1CAD6D5C"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491D04"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43EAFDF1"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291CD813"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529A1C5B"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7D3EA586" w14:textId="77777777" w:rsidR="00713358" w:rsidRPr="00437050" w:rsidRDefault="00713358" w:rsidP="00437050">
      <w:pPr>
        <w:spacing w:line="120" w:lineRule="atLeast"/>
        <w:ind w:left="360"/>
        <w:jc w:val="both"/>
        <w:rPr>
          <w:rFonts w:asciiTheme="majorHAnsi" w:hAnsiTheme="majorHAnsi"/>
          <w:sz w:val="22"/>
          <w:szCs w:val="22"/>
        </w:rPr>
      </w:pPr>
    </w:p>
    <w:p w14:paraId="6760F70B" w14:textId="77777777"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rozszerza</w:t>
      </w:r>
      <w:r w:rsidR="0092659A">
        <w:rPr>
          <w:rFonts w:asciiTheme="majorHAnsi" w:hAnsiTheme="majorHAnsi"/>
          <w:sz w:val="22"/>
          <w:szCs w:val="22"/>
        </w:rPr>
        <w:t>-</w:t>
      </w:r>
      <w:proofErr w:type="spellStart"/>
      <w:r w:rsidRPr="00437050">
        <w:rPr>
          <w:rFonts w:asciiTheme="majorHAnsi" w:hAnsiTheme="majorHAnsi"/>
          <w:sz w:val="22"/>
          <w:szCs w:val="22"/>
        </w:rPr>
        <w:t>jących</w:t>
      </w:r>
      <w:proofErr w:type="spellEnd"/>
      <w:r w:rsidRPr="00437050">
        <w:rPr>
          <w:rFonts w:asciiTheme="majorHAnsi" w:hAnsiTheme="majorHAnsi"/>
          <w:sz w:val="22"/>
          <w:szCs w:val="22"/>
        </w:rPr>
        <w:t xml:space="preserve">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14:paraId="0DF25A75" w14:textId="77777777"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14:paraId="2584FED7" w14:textId="77777777" w:rsidR="001218AA" w:rsidRPr="00437050" w:rsidRDefault="001218AA" w:rsidP="00437050">
      <w:pPr>
        <w:spacing w:line="120" w:lineRule="atLeast"/>
        <w:jc w:val="both"/>
        <w:rPr>
          <w:rFonts w:asciiTheme="majorHAnsi" w:hAnsiTheme="majorHAnsi"/>
          <w:sz w:val="22"/>
          <w:szCs w:val="22"/>
        </w:rPr>
      </w:pPr>
    </w:p>
    <w:p w14:paraId="7A314AC1" w14:textId="77777777" w:rsidR="00DC2F33" w:rsidRDefault="00DC2F33" w:rsidP="00437050">
      <w:pPr>
        <w:spacing w:line="120" w:lineRule="atLeast"/>
        <w:rPr>
          <w:rFonts w:asciiTheme="majorHAnsi" w:hAnsiTheme="majorHAnsi"/>
          <w:b/>
          <w:bCs/>
        </w:rPr>
      </w:pPr>
    </w:p>
    <w:p w14:paraId="500DC759" w14:textId="77777777" w:rsidR="001218AA" w:rsidRPr="000E37BC" w:rsidRDefault="00AB2B6D" w:rsidP="00437050">
      <w:pPr>
        <w:spacing w:line="120" w:lineRule="atLeast"/>
        <w:rPr>
          <w:rFonts w:asciiTheme="majorHAnsi" w:hAnsiTheme="majorHAnsi"/>
          <w:b/>
          <w:bCs/>
        </w:rPr>
      </w:pPr>
      <w:r w:rsidRPr="000E37BC">
        <w:rPr>
          <w:rFonts w:asciiTheme="majorHAnsi" w:hAnsiTheme="majorHAnsi"/>
          <w:b/>
          <w:bCs/>
        </w:rPr>
        <w:t>1. LICZBY RZECZYWISTE</w:t>
      </w:r>
    </w:p>
    <w:p w14:paraId="3BA5774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5DD9F61"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3266B8EB" w14:textId="77777777">
        <w:tc>
          <w:tcPr>
            <w:tcW w:w="9212" w:type="dxa"/>
          </w:tcPr>
          <w:p w14:paraId="32383C1B" w14:textId="77777777"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14:paraId="4B25B59B" w14:textId="77777777">
        <w:tc>
          <w:tcPr>
            <w:tcW w:w="9212" w:type="dxa"/>
          </w:tcPr>
          <w:p w14:paraId="29D0D26F" w14:textId="77777777"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14:paraId="3256BC04" w14:textId="77777777">
        <w:tc>
          <w:tcPr>
            <w:tcW w:w="9212" w:type="dxa"/>
          </w:tcPr>
          <w:p w14:paraId="00B4C784"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14:paraId="3E4C1BF1" w14:textId="77777777">
        <w:tc>
          <w:tcPr>
            <w:tcW w:w="9212" w:type="dxa"/>
          </w:tcPr>
          <w:p w14:paraId="4477AD9C"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14:paraId="7DA4AE7D" w14:textId="77777777">
        <w:tc>
          <w:tcPr>
            <w:tcW w:w="9212" w:type="dxa"/>
          </w:tcPr>
          <w:p w14:paraId="08D8BBAE"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14:paraId="3A326EB5" w14:textId="77777777">
        <w:tc>
          <w:tcPr>
            <w:tcW w:w="9212" w:type="dxa"/>
          </w:tcPr>
          <w:p w14:paraId="31C6FF07"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14:paraId="672283BE" w14:textId="77777777">
        <w:tc>
          <w:tcPr>
            <w:tcW w:w="9212" w:type="dxa"/>
          </w:tcPr>
          <w:p w14:paraId="3BCDF450"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14:paraId="4E716658" w14:textId="77777777">
        <w:tc>
          <w:tcPr>
            <w:tcW w:w="9212" w:type="dxa"/>
          </w:tcPr>
          <w:p w14:paraId="3224F255"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lastRenderedPageBreak/>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14:paraId="3970DBD4" w14:textId="77777777">
        <w:tc>
          <w:tcPr>
            <w:tcW w:w="9212" w:type="dxa"/>
          </w:tcPr>
          <w:p w14:paraId="6F701209"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14:paraId="6BA32AE6" w14:textId="77777777">
        <w:tc>
          <w:tcPr>
            <w:tcW w:w="9212" w:type="dxa"/>
          </w:tcPr>
          <w:p w14:paraId="39AE37E5" w14:textId="43200D1F"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14:paraId="53DA341F" w14:textId="77777777">
        <w:tc>
          <w:tcPr>
            <w:tcW w:w="9212" w:type="dxa"/>
          </w:tcPr>
          <w:p w14:paraId="6DB1AA2B" w14:textId="77777777"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rozwinięcie dziesiętne ułamków zwykłych, zamienia skończone rozwinięcia dziesiętne na ułamki zwykłe</w:t>
            </w:r>
          </w:p>
        </w:tc>
      </w:tr>
      <w:tr w:rsidR="001218AA" w:rsidRPr="00437050" w14:paraId="46F38BFA" w14:textId="77777777">
        <w:tc>
          <w:tcPr>
            <w:tcW w:w="9212" w:type="dxa"/>
          </w:tcPr>
          <w:p w14:paraId="750E76E1"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14:paraId="2A07F062" w14:textId="77777777">
        <w:tc>
          <w:tcPr>
            <w:tcW w:w="9212" w:type="dxa"/>
          </w:tcPr>
          <w:p w14:paraId="084DC194" w14:textId="77777777"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14:paraId="722E6BC7" w14:textId="77777777">
        <w:tc>
          <w:tcPr>
            <w:tcW w:w="9212" w:type="dxa"/>
          </w:tcPr>
          <w:p w14:paraId="0D9D9A20"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14:paraId="14AA2E21" w14:textId="77777777">
        <w:tc>
          <w:tcPr>
            <w:tcW w:w="9212" w:type="dxa"/>
          </w:tcPr>
          <w:p w14:paraId="79E9AD4C"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14:paraId="3FADA97D" w14:textId="77777777">
        <w:tc>
          <w:tcPr>
            <w:tcW w:w="9212" w:type="dxa"/>
          </w:tcPr>
          <w:p w14:paraId="5FB862A8" w14:textId="77777777"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a</m:t>
                      </m:r>
                    </m:e>
                  </m:rad>
                </m:den>
              </m:f>
            </m:oMath>
          </w:p>
        </w:tc>
      </w:tr>
      <w:tr w:rsidR="00E942D8" w:rsidRPr="00437050" w14:paraId="6FEF1063" w14:textId="77777777">
        <w:tc>
          <w:tcPr>
            <w:tcW w:w="9212" w:type="dxa"/>
          </w:tcPr>
          <w:p w14:paraId="044BEDD1"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14:paraId="666F1D44" w14:textId="77777777">
        <w:tc>
          <w:tcPr>
            <w:tcW w:w="9212" w:type="dxa"/>
          </w:tcPr>
          <w:p w14:paraId="41549F46" w14:textId="77777777"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14:paraId="76F0A9AC" w14:textId="77777777">
        <w:tc>
          <w:tcPr>
            <w:tcW w:w="9212" w:type="dxa"/>
          </w:tcPr>
          <w:p w14:paraId="4FC2959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14:paraId="60DC2ACA" w14:textId="77777777">
        <w:tc>
          <w:tcPr>
            <w:tcW w:w="9212" w:type="dxa"/>
          </w:tcPr>
          <w:p w14:paraId="09AA2F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14:paraId="4F1BAF29" w14:textId="77777777">
        <w:tc>
          <w:tcPr>
            <w:tcW w:w="9212" w:type="dxa"/>
          </w:tcPr>
          <w:p w14:paraId="79626723"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14:paraId="6398499A" w14:textId="77777777">
        <w:tc>
          <w:tcPr>
            <w:tcW w:w="9212" w:type="dxa"/>
          </w:tcPr>
          <w:p w14:paraId="741BA5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14:paraId="656EC895" w14:textId="77777777">
        <w:tc>
          <w:tcPr>
            <w:tcW w:w="9212" w:type="dxa"/>
          </w:tcPr>
          <w:p w14:paraId="644C7D46"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14:paraId="5ABF5DE9" w14:textId="77777777">
        <w:tc>
          <w:tcPr>
            <w:tcW w:w="9212" w:type="dxa"/>
          </w:tcPr>
          <w:p w14:paraId="6611FA62" w14:textId="3FA42871"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14:paraId="01F86BFE" w14:textId="77777777">
        <w:tc>
          <w:tcPr>
            <w:tcW w:w="9212" w:type="dxa"/>
          </w:tcPr>
          <w:p w14:paraId="7A82AB74"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14:paraId="4DB9EFDF" w14:textId="77777777">
        <w:tc>
          <w:tcPr>
            <w:tcW w:w="9212" w:type="dxa"/>
          </w:tcPr>
          <w:p w14:paraId="3253A3A6"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14:paraId="783BA414" w14:textId="77777777">
        <w:tc>
          <w:tcPr>
            <w:tcW w:w="9212" w:type="dxa"/>
          </w:tcPr>
          <w:p w14:paraId="71342350"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14:paraId="1820D1D4" w14:textId="77777777">
        <w:tc>
          <w:tcPr>
            <w:tcW w:w="9212" w:type="dxa"/>
          </w:tcPr>
          <w:p w14:paraId="23128263"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14:paraId="3E1E7EE4" w14:textId="77777777" w:rsidR="001218AA" w:rsidRPr="00437050" w:rsidRDefault="001218AA" w:rsidP="00437050">
      <w:pPr>
        <w:spacing w:line="120" w:lineRule="atLeast"/>
        <w:jc w:val="both"/>
        <w:rPr>
          <w:rFonts w:asciiTheme="majorHAnsi" w:hAnsiTheme="majorHAnsi"/>
          <w:sz w:val="22"/>
          <w:szCs w:val="22"/>
        </w:rPr>
      </w:pPr>
    </w:p>
    <w:p w14:paraId="32F6D89B"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2E07BBD"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22A80" w:rsidRPr="00437050" w14:paraId="17B80EA8" w14:textId="77777777" w:rsidTr="004573F7">
        <w:tc>
          <w:tcPr>
            <w:tcW w:w="9062" w:type="dxa"/>
          </w:tcPr>
          <w:p w14:paraId="38F7DBCD"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14:paraId="0E31C5EA" w14:textId="77777777" w:rsidTr="004573F7">
        <w:tc>
          <w:tcPr>
            <w:tcW w:w="9062" w:type="dxa"/>
          </w:tcPr>
          <w:p w14:paraId="0B170BF1" w14:textId="17B04A26"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14:paraId="729D3621" w14:textId="77777777" w:rsidTr="004573F7">
        <w:tc>
          <w:tcPr>
            <w:tcW w:w="9062" w:type="dxa"/>
          </w:tcPr>
          <w:p w14:paraId="26825FAD" w14:textId="77777777"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14:paraId="6F4062AC" w14:textId="77777777" w:rsidTr="004573F7">
        <w:tc>
          <w:tcPr>
            <w:tcW w:w="9062" w:type="dxa"/>
          </w:tcPr>
          <w:p w14:paraId="1432785E" w14:textId="77777777"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14:paraId="35AE1DF8" w14:textId="77777777" w:rsidTr="004573F7">
        <w:tc>
          <w:tcPr>
            <w:tcW w:w="9062" w:type="dxa"/>
          </w:tcPr>
          <w:p w14:paraId="141646FD"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14:paraId="3BF7297D" w14:textId="77777777" w:rsidTr="004573F7">
        <w:tc>
          <w:tcPr>
            <w:tcW w:w="9062" w:type="dxa"/>
          </w:tcPr>
          <w:p w14:paraId="73C08690"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14:paraId="4BB3F2E7" w14:textId="77777777" w:rsidTr="004573F7">
        <w:tc>
          <w:tcPr>
            <w:tcW w:w="9062" w:type="dxa"/>
          </w:tcPr>
          <w:p w14:paraId="13FF7EE6"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14:paraId="60E80B6C" w14:textId="77777777" w:rsidTr="004573F7">
        <w:tc>
          <w:tcPr>
            <w:tcW w:w="9062" w:type="dxa"/>
          </w:tcPr>
          <w:p w14:paraId="517A6E58"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14:paraId="5EEB5674" w14:textId="77777777" w:rsidTr="004573F7">
        <w:tc>
          <w:tcPr>
            <w:tcW w:w="9062" w:type="dxa"/>
          </w:tcPr>
          <w:p w14:paraId="410B05D3" w14:textId="77777777"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14:paraId="626AD5E3" w14:textId="77777777" w:rsidTr="004573F7">
        <w:tc>
          <w:tcPr>
            <w:tcW w:w="9062" w:type="dxa"/>
          </w:tcPr>
          <w:p w14:paraId="05608213" w14:textId="77777777"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14:paraId="026E8B68" w14:textId="77777777" w:rsidTr="004573F7">
        <w:tc>
          <w:tcPr>
            <w:tcW w:w="9062" w:type="dxa"/>
          </w:tcPr>
          <w:p w14:paraId="379C4E24"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5FFF7046" w14:textId="77777777" w:rsidTr="004573F7">
        <w:tc>
          <w:tcPr>
            <w:tcW w:w="9062" w:type="dxa"/>
          </w:tcPr>
          <w:p w14:paraId="65E6BD77"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6F0E0FFC" w14:textId="77777777" w:rsidTr="004573F7">
        <w:tc>
          <w:tcPr>
            <w:tcW w:w="9062" w:type="dxa"/>
          </w:tcPr>
          <w:p w14:paraId="65830971" w14:textId="245729BB"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14:paraId="48EE5DFA" w14:textId="77777777" w:rsidTr="004573F7">
        <w:tc>
          <w:tcPr>
            <w:tcW w:w="9062" w:type="dxa"/>
          </w:tcPr>
          <w:p w14:paraId="098831E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14:paraId="1708C3F4" w14:textId="77777777" w:rsidTr="004573F7">
        <w:tc>
          <w:tcPr>
            <w:tcW w:w="9062" w:type="dxa"/>
          </w:tcPr>
          <w:p w14:paraId="7B982678"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14:paraId="5A793672" w14:textId="77777777" w:rsidTr="004573F7">
        <w:tc>
          <w:tcPr>
            <w:tcW w:w="9062" w:type="dxa"/>
          </w:tcPr>
          <w:p w14:paraId="465232F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14:paraId="772A86A8" w14:textId="77777777" w:rsidR="00DF1246" w:rsidRPr="00437050" w:rsidRDefault="00DF1246" w:rsidP="00437050">
      <w:pPr>
        <w:spacing w:line="120" w:lineRule="atLeast"/>
        <w:jc w:val="both"/>
        <w:rPr>
          <w:rFonts w:asciiTheme="majorHAnsi" w:hAnsiTheme="majorHAnsi"/>
          <w:sz w:val="22"/>
          <w:szCs w:val="22"/>
        </w:rPr>
      </w:pPr>
    </w:p>
    <w:p w14:paraId="357CD3AB" w14:textId="77777777" w:rsidR="008D55BA" w:rsidRDefault="008D55BA" w:rsidP="00437050">
      <w:pPr>
        <w:spacing w:line="120" w:lineRule="atLeast"/>
        <w:jc w:val="both"/>
        <w:rPr>
          <w:rFonts w:asciiTheme="majorHAnsi" w:hAnsiTheme="majorHAnsi"/>
          <w:sz w:val="22"/>
          <w:szCs w:val="22"/>
        </w:rPr>
      </w:pPr>
    </w:p>
    <w:p w14:paraId="10D10BAF"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3EB9F3C5" w14:textId="01C65DA2"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161C16D2" w14:textId="77777777" w:rsidTr="00E45B1F">
        <w:tc>
          <w:tcPr>
            <w:tcW w:w="9212" w:type="dxa"/>
          </w:tcPr>
          <w:p w14:paraId="7EC99312" w14:textId="77777777"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14:paraId="0EEDE752" w14:textId="77777777" w:rsidTr="00E45B1F">
        <w:tc>
          <w:tcPr>
            <w:tcW w:w="9212" w:type="dxa"/>
          </w:tcPr>
          <w:p w14:paraId="4EA444BD" w14:textId="77777777"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14:paraId="57CFF467" w14:textId="77777777" w:rsidR="001218AA" w:rsidRPr="00437050" w:rsidRDefault="001218AA" w:rsidP="00437050">
      <w:pPr>
        <w:pStyle w:val="Tekstpodstawowy"/>
        <w:spacing w:line="120" w:lineRule="atLeast"/>
        <w:rPr>
          <w:rFonts w:asciiTheme="majorHAnsi" w:hAnsiTheme="majorHAnsi"/>
          <w:sz w:val="22"/>
          <w:szCs w:val="22"/>
        </w:rPr>
      </w:pPr>
    </w:p>
    <w:p w14:paraId="5FDFF56C" w14:textId="77777777" w:rsidR="00DC2F33" w:rsidRDefault="00DC2F33" w:rsidP="00437050">
      <w:pPr>
        <w:pStyle w:val="Nagwek2"/>
        <w:spacing w:line="120" w:lineRule="atLeast"/>
        <w:rPr>
          <w:rFonts w:asciiTheme="majorHAnsi" w:hAnsiTheme="majorHAnsi"/>
          <w:szCs w:val="22"/>
        </w:rPr>
      </w:pPr>
    </w:p>
    <w:p w14:paraId="2DD7208E" w14:textId="77777777"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14:paraId="3108A5C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33CC93FE" w14:textId="77777777"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A4D8FE8" w14:textId="77777777">
        <w:tc>
          <w:tcPr>
            <w:tcW w:w="9212" w:type="dxa"/>
          </w:tcPr>
          <w:p w14:paraId="4A5642CD" w14:textId="77777777"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14:paraId="7A32A26F" w14:textId="77777777">
        <w:tc>
          <w:tcPr>
            <w:tcW w:w="9212" w:type="dxa"/>
          </w:tcPr>
          <w:p w14:paraId="3C96A487" w14:textId="77777777"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14:paraId="0D406DBA" w14:textId="77777777">
        <w:tc>
          <w:tcPr>
            <w:tcW w:w="9212" w:type="dxa"/>
          </w:tcPr>
          <w:p w14:paraId="038E82E6" w14:textId="77777777"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14:paraId="48DAC379" w14:textId="77777777">
        <w:tc>
          <w:tcPr>
            <w:tcW w:w="9212" w:type="dxa"/>
          </w:tcPr>
          <w:p w14:paraId="7BBE2693" w14:textId="3202C281"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14:paraId="407178E7" w14:textId="77777777">
        <w:tc>
          <w:tcPr>
            <w:tcW w:w="9212" w:type="dxa"/>
          </w:tcPr>
          <w:p w14:paraId="0B89CC5B"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14:paraId="6F0EC825" w14:textId="77777777">
        <w:tc>
          <w:tcPr>
            <w:tcW w:w="9212" w:type="dxa"/>
          </w:tcPr>
          <w:p w14:paraId="5C381873" w14:textId="77777777"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14:paraId="030F71FD" w14:textId="77777777">
        <w:tc>
          <w:tcPr>
            <w:tcW w:w="9212" w:type="dxa"/>
          </w:tcPr>
          <w:p w14:paraId="25212183" w14:textId="77777777"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14:paraId="1D4DBEA6" w14:textId="77777777">
        <w:tc>
          <w:tcPr>
            <w:tcW w:w="9212" w:type="dxa"/>
          </w:tcPr>
          <w:p w14:paraId="0294B0C2" w14:textId="77777777"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14:paraId="3793D310" w14:textId="77777777">
        <w:tc>
          <w:tcPr>
            <w:tcW w:w="9212" w:type="dxa"/>
          </w:tcPr>
          <w:p w14:paraId="4A97AB4F"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14:paraId="61FED316" w14:textId="77777777">
        <w:tc>
          <w:tcPr>
            <w:tcW w:w="9212" w:type="dxa"/>
          </w:tcPr>
          <w:p w14:paraId="0982EEF8" w14:textId="77777777"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14:paraId="3D14CCBA" w14:textId="7F164DDF"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14:paraId="5648CEB4" w14:textId="77777777">
        <w:tc>
          <w:tcPr>
            <w:tcW w:w="9212" w:type="dxa"/>
          </w:tcPr>
          <w:p w14:paraId="07F4D2D4" w14:textId="77777777"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14:paraId="1563B3FC" w14:textId="77777777">
        <w:tc>
          <w:tcPr>
            <w:tcW w:w="9212" w:type="dxa"/>
          </w:tcPr>
          <w:p w14:paraId="422EB85E" w14:textId="77777777"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14:paraId="6F24EAB5" w14:textId="77777777">
        <w:tc>
          <w:tcPr>
            <w:tcW w:w="9212" w:type="dxa"/>
          </w:tcPr>
          <w:p w14:paraId="2CFC891D"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14:paraId="08A0BFCE" w14:textId="77777777">
        <w:tc>
          <w:tcPr>
            <w:tcW w:w="9212" w:type="dxa"/>
          </w:tcPr>
          <w:p w14:paraId="764D2566" w14:textId="15B6638B"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14:paraId="67250079" w14:textId="77777777">
        <w:tc>
          <w:tcPr>
            <w:tcW w:w="9212" w:type="dxa"/>
          </w:tcPr>
          <w:p w14:paraId="19EAFE28" w14:textId="111584F8"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14:paraId="5D877E16" w14:textId="77777777">
        <w:tc>
          <w:tcPr>
            <w:tcW w:w="9212" w:type="dxa"/>
          </w:tcPr>
          <w:p w14:paraId="119007CA"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14:paraId="538AA707" w14:textId="77777777">
        <w:tc>
          <w:tcPr>
            <w:tcW w:w="9212" w:type="dxa"/>
          </w:tcPr>
          <w:p w14:paraId="31FD0A8E"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w14:anchorId="249A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7.4pt" o:ole="">
                  <v:imagedata r:id="rId8" o:title=""/>
                </v:shape>
                <o:OLEObject Type="Embed" ProgID="Equation.3" ShapeID="_x0000_i1025" DrawAspect="Content" ObjectID="_1692007411" r:id="rId9"/>
              </w:object>
            </w:r>
          </w:p>
        </w:tc>
      </w:tr>
    </w:tbl>
    <w:p w14:paraId="09368F4A" w14:textId="77777777" w:rsidR="001218AA" w:rsidRPr="00437050" w:rsidRDefault="001218AA" w:rsidP="00437050">
      <w:pPr>
        <w:spacing w:line="120" w:lineRule="atLeast"/>
        <w:jc w:val="both"/>
        <w:rPr>
          <w:rFonts w:asciiTheme="majorHAnsi" w:hAnsiTheme="majorHAnsi"/>
          <w:sz w:val="22"/>
          <w:szCs w:val="22"/>
        </w:rPr>
      </w:pPr>
    </w:p>
    <w:p w14:paraId="0D23B1E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2D6C77E2"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72897" w:rsidRPr="00437050" w14:paraId="6E07DF5F" w14:textId="77777777">
        <w:tc>
          <w:tcPr>
            <w:tcW w:w="9212" w:type="dxa"/>
          </w:tcPr>
          <w:p w14:paraId="353FDCD6" w14:textId="77777777"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14:paraId="11EBD6A5" w14:textId="77777777">
        <w:tc>
          <w:tcPr>
            <w:tcW w:w="9212" w:type="dxa"/>
          </w:tcPr>
          <w:p w14:paraId="3F11335A" w14:textId="019ADDC9"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14:paraId="5F7C947F" w14:textId="77777777">
        <w:tc>
          <w:tcPr>
            <w:tcW w:w="9212" w:type="dxa"/>
          </w:tcPr>
          <w:p w14:paraId="1F962E57" w14:textId="77777777"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14:paraId="13D8E49A" w14:textId="77777777">
        <w:tc>
          <w:tcPr>
            <w:tcW w:w="9212" w:type="dxa"/>
          </w:tcPr>
          <w:p w14:paraId="4959C49F"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14:paraId="1892EC6B" w14:textId="77777777">
        <w:tc>
          <w:tcPr>
            <w:tcW w:w="9212" w:type="dxa"/>
          </w:tcPr>
          <w:p w14:paraId="02C69D73"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14:paraId="108B3131" w14:textId="77777777">
        <w:tc>
          <w:tcPr>
            <w:tcW w:w="9212" w:type="dxa"/>
          </w:tcPr>
          <w:p w14:paraId="57847BB8"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stosuje wzory skróconego mnożenia do przekształcania wyrażeń algebraicznych</w:t>
            </w:r>
          </w:p>
        </w:tc>
      </w:tr>
      <w:tr w:rsidR="00592957" w:rsidRPr="00437050" w14:paraId="39FF32E6" w14:textId="77777777">
        <w:tc>
          <w:tcPr>
            <w:tcW w:w="9212" w:type="dxa"/>
          </w:tcPr>
          <w:p w14:paraId="46EAD521"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w14:anchorId="44F4D371">
                <v:shape id="_x0000_i1026" type="#_x0000_t75" style="width:33pt;height:15pt" o:ole="">
                  <v:imagedata r:id="rId10" o:title=""/>
                </v:shape>
                <o:OLEObject Type="Embed" ProgID="Equation.3" ShapeID="_x0000_i1026" DrawAspect="Content" ObjectID="_1692007412" r:id="rId11"/>
              </w:object>
            </w:r>
            <w:r w:rsidRPr="00437050">
              <w:rPr>
                <w:rFonts w:asciiTheme="majorHAnsi" w:hAnsiTheme="majorHAnsi"/>
                <w:sz w:val="22"/>
                <w:szCs w:val="22"/>
              </w:rPr>
              <w:t xml:space="preserve"> </w:t>
            </w:r>
          </w:p>
        </w:tc>
      </w:tr>
      <w:tr w:rsidR="00BD5FE9" w:rsidRPr="00437050" w14:paraId="3DBAC479" w14:textId="77777777">
        <w:tc>
          <w:tcPr>
            <w:tcW w:w="9212" w:type="dxa"/>
          </w:tcPr>
          <w:p w14:paraId="0E506837" w14:textId="77777777"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w14:anchorId="7F6076B4">
                <v:shape id="_x0000_i1027" type="#_x0000_t75" style="width:36pt;height:27pt" o:ole="">
                  <v:imagedata r:id="rId12" o:title=""/>
                </v:shape>
                <o:OLEObject Type="Embed" ProgID="Equation.3" ShapeID="_x0000_i1027" DrawAspect="Content" ObjectID="_1692007413" r:id="rId13"/>
              </w:object>
            </w:r>
          </w:p>
        </w:tc>
      </w:tr>
      <w:tr w:rsidR="00592957" w:rsidRPr="00437050" w14:paraId="221558AB" w14:textId="77777777">
        <w:tc>
          <w:tcPr>
            <w:tcW w:w="9212" w:type="dxa"/>
          </w:tcPr>
          <w:p w14:paraId="41101C2A" w14:textId="77777777"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14:paraId="55DF7575" w14:textId="77777777">
        <w:tc>
          <w:tcPr>
            <w:tcW w:w="9212" w:type="dxa"/>
          </w:tcPr>
          <w:p w14:paraId="27F750B2" w14:textId="77777777"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nierówności pierwszego stopnia z jedną niewiadomą do rozwiązywania zadań osadzonych w kontekście praktycznym</w:t>
            </w:r>
          </w:p>
        </w:tc>
      </w:tr>
      <w:tr w:rsidR="00592957" w:rsidRPr="00437050" w14:paraId="2C718B61" w14:textId="77777777">
        <w:tc>
          <w:tcPr>
            <w:tcW w:w="9212" w:type="dxa"/>
          </w:tcPr>
          <w:p w14:paraId="78A9FD91" w14:textId="77777777"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14:paraId="6EF91349" w14:textId="77777777">
        <w:tc>
          <w:tcPr>
            <w:tcW w:w="9212" w:type="dxa"/>
          </w:tcPr>
          <w:p w14:paraId="1AFCCAB4" w14:textId="2D3B2AA2"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14:paraId="2F3786CE" w14:textId="77777777">
        <w:tc>
          <w:tcPr>
            <w:tcW w:w="9212" w:type="dxa"/>
          </w:tcPr>
          <w:p w14:paraId="6465C4B0"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14:paraId="003B51C6" w14:textId="77777777" w:rsidR="001218AA" w:rsidRPr="00437050" w:rsidRDefault="001218AA" w:rsidP="00437050">
      <w:pPr>
        <w:spacing w:line="120" w:lineRule="atLeast"/>
        <w:jc w:val="both"/>
        <w:rPr>
          <w:rFonts w:asciiTheme="majorHAnsi" w:hAnsiTheme="majorHAnsi"/>
          <w:sz w:val="22"/>
          <w:szCs w:val="22"/>
        </w:rPr>
      </w:pPr>
    </w:p>
    <w:p w14:paraId="7EBCD09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C9B7C37" w14:textId="7EDA8000"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25AEC" w:rsidRPr="00437050" w14:paraId="641FEC27" w14:textId="77777777">
        <w:tc>
          <w:tcPr>
            <w:tcW w:w="9212" w:type="dxa"/>
          </w:tcPr>
          <w:p w14:paraId="63F90ACB"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14:paraId="7E8C5AF9" w14:textId="77777777">
        <w:tc>
          <w:tcPr>
            <w:tcW w:w="9212" w:type="dxa"/>
          </w:tcPr>
          <w:p w14:paraId="37B38F47"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14:paraId="16A10BBF" w14:textId="77777777">
        <w:tc>
          <w:tcPr>
            <w:tcW w:w="9212" w:type="dxa"/>
          </w:tcPr>
          <w:p w14:paraId="698B0DE5" w14:textId="77777777"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14:paraId="3B4C5409" w14:textId="77777777" w:rsidR="0068433F" w:rsidRPr="00437050" w:rsidRDefault="0068433F" w:rsidP="00437050">
      <w:pPr>
        <w:pStyle w:val="Nagwek1"/>
        <w:spacing w:line="120" w:lineRule="atLeast"/>
        <w:rPr>
          <w:rFonts w:asciiTheme="majorHAnsi" w:hAnsiTheme="majorHAnsi"/>
          <w:sz w:val="22"/>
          <w:szCs w:val="22"/>
        </w:rPr>
      </w:pPr>
    </w:p>
    <w:p w14:paraId="7A40B934" w14:textId="77777777" w:rsidR="00DC2F33" w:rsidRDefault="00DC2F33" w:rsidP="00437050">
      <w:pPr>
        <w:pStyle w:val="Nagwek1"/>
        <w:spacing w:line="120" w:lineRule="atLeast"/>
        <w:rPr>
          <w:rFonts w:asciiTheme="majorHAnsi" w:hAnsiTheme="majorHAnsi"/>
          <w:szCs w:val="22"/>
        </w:rPr>
      </w:pPr>
    </w:p>
    <w:p w14:paraId="200DFB3A" w14:textId="77777777"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14:paraId="536B92F2"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0F1349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48DFBB7" w14:textId="77777777" w:rsidTr="00C97FC8">
        <w:tc>
          <w:tcPr>
            <w:tcW w:w="9212" w:type="dxa"/>
          </w:tcPr>
          <w:p w14:paraId="207A72AC"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2A44465D" w14:textId="77777777" w:rsidTr="00C97FC8">
        <w:tc>
          <w:tcPr>
            <w:tcW w:w="9212" w:type="dxa"/>
          </w:tcPr>
          <w:p w14:paraId="25FE5D0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3DCE1481" w14:textId="77777777" w:rsidTr="00C97FC8">
        <w:tc>
          <w:tcPr>
            <w:tcW w:w="9212" w:type="dxa"/>
          </w:tcPr>
          <w:p w14:paraId="184C2FAF"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56661C3B" w14:textId="77777777" w:rsidTr="00C97FC8">
        <w:tc>
          <w:tcPr>
            <w:tcW w:w="9212" w:type="dxa"/>
          </w:tcPr>
          <w:p w14:paraId="25F5811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492D400C" w14:textId="77777777" w:rsidTr="00C97FC8">
        <w:tc>
          <w:tcPr>
            <w:tcW w:w="9212" w:type="dxa"/>
          </w:tcPr>
          <w:p w14:paraId="2655EB36"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8DD83AF" w14:textId="77777777" w:rsidTr="00C97FC8">
        <w:tc>
          <w:tcPr>
            <w:tcW w:w="9212" w:type="dxa"/>
          </w:tcPr>
          <w:p w14:paraId="67FEE67F"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2F39D369" w14:textId="77777777" w:rsidTr="00C97FC8">
        <w:tc>
          <w:tcPr>
            <w:tcW w:w="9212" w:type="dxa"/>
          </w:tcPr>
          <w:p w14:paraId="2511997B"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0A791D8" w14:textId="77777777" w:rsidTr="00C97FC8">
        <w:tc>
          <w:tcPr>
            <w:tcW w:w="9212" w:type="dxa"/>
          </w:tcPr>
          <w:p w14:paraId="587020CF"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1792F3D9" w14:textId="77777777" w:rsidR="004E2C89" w:rsidRPr="00437050" w:rsidRDefault="004E2C89" w:rsidP="00437050">
      <w:pPr>
        <w:spacing w:line="120" w:lineRule="atLeast"/>
        <w:jc w:val="both"/>
        <w:rPr>
          <w:rFonts w:asciiTheme="majorHAnsi" w:hAnsiTheme="majorHAnsi"/>
          <w:sz w:val="22"/>
          <w:szCs w:val="22"/>
        </w:rPr>
      </w:pPr>
    </w:p>
    <w:p w14:paraId="7BA18047"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DC329B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38CA62BA" w14:textId="77777777" w:rsidTr="00C97FC8">
        <w:tc>
          <w:tcPr>
            <w:tcW w:w="9212" w:type="dxa"/>
          </w:tcPr>
          <w:p w14:paraId="4323358E"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20D2F505" w14:textId="77777777" w:rsidTr="00C97FC8">
        <w:tc>
          <w:tcPr>
            <w:tcW w:w="9212" w:type="dxa"/>
          </w:tcPr>
          <w:p w14:paraId="473A40C1"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14:paraId="41CBE22A" w14:textId="77777777" w:rsidTr="00C97FC8">
        <w:tc>
          <w:tcPr>
            <w:tcW w:w="9212" w:type="dxa"/>
          </w:tcPr>
          <w:p w14:paraId="580E908A"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12833583" w14:textId="77777777" w:rsidTr="00C97FC8">
        <w:tc>
          <w:tcPr>
            <w:tcW w:w="9212" w:type="dxa"/>
          </w:tcPr>
          <w:p w14:paraId="45B02B8A"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34B73A2B" w14:textId="77777777" w:rsidTr="00C97FC8">
        <w:tc>
          <w:tcPr>
            <w:tcW w:w="9212" w:type="dxa"/>
          </w:tcPr>
          <w:p w14:paraId="4EA8970A"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3B988492" w14:textId="77777777" w:rsidTr="00C97FC8">
        <w:tc>
          <w:tcPr>
            <w:tcW w:w="9212" w:type="dxa"/>
          </w:tcPr>
          <w:p w14:paraId="743F4DCC"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14:paraId="7B65A465" w14:textId="77777777" w:rsidTr="00C97FC8">
        <w:tc>
          <w:tcPr>
            <w:tcW w:w="9212" w:type="dxa"/>
          </w:tcPr>
          <w:p w14:paraId="65229972"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0560ABCF" w14:textId="77777777" w:rsidR="004E2C89" w:rsidRPr="00437050" w:rsidRDefault="004E2C89" w:rsidP="00437050">
      <w:pPr>
        <w:spacing w:line="120" w:lineRule="atLeast"/>
        <w:jc w:val="both"/>
        <w:rPr>
          <w:rFonts w:asciiTheme="majorHAnsi" w:hAnsiTheme="majorHAnsi"/>
          <w:sz w:val="22"/>
          <w:szCs w:val="22"/>
        </w:rPr>
      </w:pPr>
    </w:p>
    <w:p w14:paraId="68ABD41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2F3DFBB" w14:textId="4729B938"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lastRenderedPageBreak/>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2C89" w:rsidRPr="00437050" w14:paraId="634F903F" w14:textId="77777777" w:rsidTr="004E2C89">
        <w:tc>
          <w:tcPr>
            <w:tcW w:w="9212" w:type="dxa"/>
          </w:tcPr>
          <w:p w14:paraId="00DAC1F5"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683F2C1E" w14:textId="77777777" w:rsidR="00DC2F33" w:rsidRDefault="00DC2F33">
      <w:pPr>
        <w:rPr>
          <w:rFonts w:asciiTheme="majorHAnsi" w:hAnsiTheme="majorHAnsi"/>
          <w:b/>
          <w:bCs/>
          <w:szCs w:val="22"/>
        </w:rPr>
      </w:pPr>
      <w:r>
        <w:rPr>
          <w:rFonts w:asciiTheme="majorHAnsi" w:hAnsiTheme="majorHAnsi"/>
          <w:szCs w:val="22"/>
        </w:rPr>
        <w:br w:type="page"/>
      </w:r>
    </w:p>
    <w:p w14:paraId="5A8C6D03" w14:textId="77777777"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lastRenderedPageBreak/>
        <w:t>4. FUNKCJE</w:t>
      </w:r>
    </w:p>
    <w:p w14:paraId="583EFE6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3B3A2D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14AE1B8E" w14:textId="77777777" w:rsidTr="007A262B">
        <w:tc>
          <w:tcPr>
            <w:tcW w:w="9062" w:type="dxa"/>
          </w:tcPr>
          <w:p w14:paraId="1D7B0CFE"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70D510BE" w14:textId="77777777" w:rsidTr="007A262B">
        <w:tc>
          <w:tcPr>
            <w:tcW w:w="9062" w:type="dxa"/>
          </w:tcPr>
          <w:p w14:paraId="7663E1A9" w14:textId="26B3847E"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76163DBA" w14:textId="77777777" w:rsidTr="007A262B">
        <w:tc>
          <w:tcPr>
            <w:tcW w:w="9062" w:type="dxa"/>
          </w:tcPr>
          <w:p w14:paraId="38F04F1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2E68D371" w14:textId="77777777" w:rsidTr="007A262B">
        <w:tc>
          <w:tcPr>
            <w:tcW w:w="9062" w:type="dxa"/>
          </w:tcPr>
          <w:p w14:paraId="4E4B00C1" w14:textId="4FEEA5DF"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1ECB91C6" w14:textId="77777777" w:rsidTr="007A262B">
        <w:tc>
          <w:tcPr>
            <w:tcW w:w="9062" w:type="dxa"/>
          </w:tcPr>
          <w:p w14:paraId="06845C0A"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6D1A8551" w14:textId="77777777" w:rsidTr="007A262B">
        <w:tc>
          <w:tcPr>
            <w:tcW w:w="9062" w:type="dxa"/>
          </w:tcPr>
          <w:p w14:paraId="02A41DDE"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73FCFF5" w14:textId="77777777" w:rsidTr="007A262B">
        <w:tc>
          <w:tcPr>
            <w:tcW w:w="9062" w:type="dxa"/>
          </w:tcPr>
          <w:p w14:paraId="2D79730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30D21CD0" w14:textId="77777777" w:rsidTr="007A262B">
        <w:tc>
          <w:tcPr>
            <w:tcW w:w="9062" w:type="dxa"/>
          </w:tcPr>
          <w:p w14:paraId="5619A4B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5800CAAB" w14:textId="77777777" w:rsidTr="007A262B">
        <w:tc>
          <w:tcPr>
            <w:tcW w:w="9062" w:type="dxa"/>
          </w:tcPr>
          <w:p w14:paraId="07A820D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16126DCE" w14:textId="77777777" w:rsidTr="007A262B">
        <w:tc>
          <w:tcPr>
            <w:tcW w:w="9062" w:type="dxa"/>
          </w:tcPr>
          <w:p w14:paraId="316BF7E9"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3313930A" w14:textId="77777777" w:rsidTr="007A262B">
        <w:tc>
          <w:tcPr>
            <w:tcW w:w="9062" w:type="dxa"/>
          </w:tcPr>
          <w:p w14:paraId="5C0B283D"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F2BBD9" w14:textId="77777777" w:rsidTr="007A262B">
        <w:tc>
          <w:tcPr>
            <w:tcW w:w="9062" w:type="dxa"/>
          </w:tcPr>
          <w:p w14:paraId="10FCA92C"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6F8116E7" w14:textId="77777777" w:rsidTr="007A262B">
        <w:tc>
          <w:tcPr>
            <w:tcW w:w="9062" w:type="dxa"/>
          </w:tcPr>
          <w:p w14:paraId="461D5CE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4BB5B91F" w14:textId="77777777" w:rsidTr="007A262B">
        <w:tc>
          <w:tcPr>
            <w:tcW w:w="9062" w:type="dxa"/>
          </w:tcPr>
          <w:p w14:paraId="46587CB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2B863B40" w14:textId="77777777" w:rsidTr="007A262B">
        <w:tc>
          <w:tcPr>
            <w:tcW w:w="9062" w:type="dxa"/>
          </w:tcPr>
          <w:p w14:paraId="158BB40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0CBDBFE9" w14:textId="77777777" w:rsidTr="007A262B">
        <w:tc>
          <w:tcPr>
            <w:tcW w:w="9062" w:type="dxa"/>
          </w:tcPr>
          <w:p w14:paraId="579BBD65"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32B6E3BC">
                <v:shape id="_x0000_i1028" type="#_x0000_t75" style="width:54.6pt;height:15pt" o:ole="">
                  <v:imagedata r:id="rId14" o:title=""/>
                </v:shape>
                <o:OLEObject Type="Embed" ProgID="Equation.3" ShapeID="_x0000_i1028" DrawAspect="Content" ObjectID="_1692007414" r:id="rId15"/>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2D4B5F04">
                <v:shape id="_x0000_i1029" type="#_x0000_t75" style="width:53.4pt;height:15pt" o:ole="">
                  <v:imagedata r:id="rId16" o:title=""/>
                </v:shape>
                <o:OLEObject Type="Embed" ProgID="Equation.3" ShapeID="_x0000_i1029" DrawAspect="Content" ObjectID="_1692007415" r:id="rId17"/>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3F88ED60">
                <v:shape id="_x0000_i1030" type="#_x0000_t75" style="width:68.4pt;height:15pt" o:ole="">
                  <v:imagedata r:id="rId18" o:title=""/>
                </v:shape>
                <o:OLEObject Type="Embed" ProgID="Equation.3" ShapeID="_x0000_i1030" DrawAspect="Content" ObjectID="_1692007416" r:id="rId19"/>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03075C50">
                <v:shape id="_x0000_i1031" type="#_x0000_t75" style="width:42.6pt;height:15pt" o:ole="">
                  <v:imagedata r:id="rId20" o:title=""/>
                </v:shape>
                <o:OLEObject Type="Embed" ProgID="Equation.3" ShapeID="_x0000_i1031" DrawAspect="Content" ObjectID="_1692007417" r:id="rId21"/>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4C6D13C5">
                <v:shape id="_x0000_i1032" type="#_x0000_t75" style="width:38.4pt;height:15pt" o:ole="">
                  <v:imagedata r:id="rId22" o:title=""/>
                </v:shape>
                <o:OLEObject Type="Embed" ProgID="Equation.3" ShapeID="_x0000_i1032" DrawAspect="Content" ObjectID="_1692007418" r:id="rId23"/>
              </w:object>
            </w:r>
          </w:p>
        </w:tc>
      </w:tr>
      <w:tr w:rsidR="00CD3AB8" w:rsidRPr="00437050" w14:paraId="233A862C" w14:textId="77777777" w:rsidTr="007A262B">
        <w:tc>
          <w:tcPr>
            <w:tcW w:w="9062" w:type="dxa"/>
          </w:tcPr>
          <w:p w14:paraId="6677F68E"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26EA4C9E" w14:textId="77777777" w:rsidTr="007A262B">
        <w:tc>
          <w:tcPr>
            <w:tcW w:w="9062" w:type="dxa"/>
          </w:tcPr>
          <w:p w14:paraId="1739FEA2"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1D06E8E6" w14:textId="77777777" w:rsidTr="007A262B">
        <w:tc>
          <w:tcPr>
            <w:tcW w:w="9062" w:type="dxa"/>
          </w:tcPr>
          <w:p w14:paraId="058A12F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78FE97CA" w14:textId="77777777" w:rsidTr="007A262B">
        <w:tc>
          <w:tcPr>
            <w:tcW w:w="9062" w:type="dxa"/>
          </w:tcPr>
          <w:p w14:paraId="2D217E7F"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01E6A9EF" w14:textId="77777777" w:rsidTr="007A262B">
        <w:tc>
          <w:tcPr>
            <w:tcW w:w="9062" w:type="dxa"/>
          </w:tcPr>
          <w:p w14:paraId="5A120F6D" w14:textId="115E3C86"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0EE823E2" w14:textId="77777777" w:rsidTr="007A262B">
        <w:tc>
          <w:tcPr>
            <w:tcW w:w="9062" w:type="dxa"/>
          </w:tcPr>
          <w:p w14:paraId="0911E76E"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7AB5530E" w14:textId="77777777" w:rsidR="00CD3AB8" w:rsidRPr="00437050" w:rsidRDefault="00CD3AB8" w:rsidP="00437050">
      <w:pPr>
        <w:spacing w:line="120" w:lineRule="atLeast"/>
        <w:jc w:val="both"/>
        <w:rPr>
          <w:rFonts w:asciiTheme="majorHAnsi" w:hAnsiTheme="majorHAnsi"/>
          <w:sz w:val="22"/>
          <w:szCs w:val="22"/>
        </w:rPr>
      </w:pPr>
    </w:p>
    <w:p w14:paraId="1940395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FE544A1"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2FFCF120" w14:textId="77777777" w:rsidTr="00CD3AB8">
        <w:tc>
          <w:tcPr>
            <w:tcW w:w="9212" w:type="dxa"/>
          </w:tcPr>
          <w:p w14:paraId="2986B5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4A57E7B8" w14:textId="77777777" w:rsidTr="00CD3AB8">
        <w:tc>
          <w:tcPr>
            <w:tcW w:w="9212" w:type="dxa"/>
          </w:tcPr>
          <w:p w14:paraId="15BB37C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18816E53" w14:textId="77777777" w:rsidTr="00CD3AB8">
        <w:tc>
          <w:tcPr>
            <w:tcW w:w="9212" w:type="dxa"/>
          </w:tcPr>
          <w:p w14:paraId="2961658C"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0CF79F89" w14:textId="77777777" w:rsidTr="00CD3AB8">
        <w:tc>
          <w:tcPr>
            <w:tcW w:w="9212" w:type="dxa"/>
          </w:tcPr>
          <w:p w14:paraId="38721E0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0F9C5AF1">
                <v:shape id="_x0000_i1033" type="#_x0000_t75" style="width:180pt;height:17.4pt" o:ole="">
                  <v:imagedata r:id="rId24" o:title=""/>
                </v:shape>
                <o:OLEObject Type="Embed" ProgID="Equation.3" ShapeID="_x0000_i1033" DrawAspect="Content" ObjectID="_1692007419" r:id="rId25"/>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02B6FFB6" w14:textId="77777777" w:rsidTr="00CD3AB8">
        <w:tc>
          <w:tcPr>
            <w:tcW w:w="9212" w:type="dxa"/>
          </w:tcPr>
          <w:p w14:paraId="12AFF0D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65CF5689" w14:textId="77777777" w:rsidTr="00CD3AB8">
        <w:tc>
          <w:tcPr>
            <w:tcW w:w="9212" w:type="dxa"/>
          </w:tcPr>
          <w:p w14:paraId="417CA4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1AC44960" w14:textId="77777777" w:rsidTr="00CD3AB8">
        <w:tc>
          <w:tcPr>
            <w:tcW w:w="9212" w:type="dxa"/>
          </w:tcPr>
          <w:p w14:paraId="5E37B915"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lastRenderedPageBreak/>
              <w:t>szkicuje wykresy funkcji, stosując przekształcenia wykresu, w trudniejszych przypadkach</w:t>
            </w:r>
          </w:p>
        </w:tc>
      </w:tr>
      <w:tr w:rsidR="00C82D24" w:rsidRPr="00437050" w14:paraId="60E3BE96" w14:textId="77777777" w:rsidTr="00CD3AB8">
        <w:tc>
          <w:tcPr>
            <w:tcW w:w="9212" w:type="dxa"/>
          </w:tcPr>
          <w:p w14:paraId="773FAD2E" w14:textId="6744925B"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1C136A85" w14:textId="77777777" w:rsidR="00CD3AB8" w:rsidRPr="00437050" w:rsidRDefault="00CD3AB8" w:rsidP="00437050">
      <w:pPr>
        <w:spacing w:line="120" w:lineRule="atLeast"/>
        <w:jc w:val="both"/>
        <w:rPr>
          <w:rFonts w:asciiTheme="majorHAnsi" w:hAnsiTheme="majorHAnsi"/>
          <w:sz w:val="22"/>
          <w:szCs w:val="22"/>
        </w:rPr>
      </w:pPr>
    </w:p>
    <w:p w14:paraId="2FEA249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48B92FF" w14:textId="074C7AE8"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5A4EF8CB" w14:textId="77777777" w:rsidTr="00CD3AB8">
        <w:tc>
          <w:tcPr>
            <w:tcW w:w="9212" w:type="dxa"/>
          </w:tcPr>
          <w:p w14:paraId="3993130F" w14:textId="1C13DB84"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7C598904">
                <v:shape id="_x0000_i1034" type="#_x0000_t75" style="width:38.4pt;height:27.6pt" o:ole="">
                  <v:imagedata r:id="rId26" o:title=""/>
                </v:shape>
                <o:OLEObject Type="Embed" ProgID="Equation.3" ShapeID="_x0000_i1034" DrawAspect="Content" ObjectID="_1692007420" r:id="rId27"/>
              </w:object>
            </w:r>
            <w:r w:rsidR="00CD3AB8" w:rsidRPr="00437050">
              <w:rPr>
                <w:rFonts w:asciiTheme="majorHAnsi" w:hAnsiTheme="majorHAnsi"/>
                <w:sz w:val="22"/>
                <w:szCs w:val="22"/>
              </w:rPr>
              <w:t xml:space="preserve"> nie jest monotoniczna w swojej dziedzinie</w:t>
            </w:r>
          </w:p>
        </w:tc>
      </w:tr>
      <w:tr w:rsidR="00CD3AB8" w:rsidRPr="00437050" w14:paraId="26C70BE9" w14:textId="77777777" w:rsidTr="00CD3AB8">
        <w:tc>
          <w:tcPr>
            <w:tcW w:w="9212" w:type="dxa"/>
          </w:tcPr>
          <w:p w14:paraId="22AB757D"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3D20B8C5" w14:textId="77777777" w:rsidR="00CD3AB8" w:rsidRPr="00437050" w:rsidRDefault="00CD3AB8" w:rsidP="00437050">
      <w:pPr>
        <w:spacing w:line="120" w:lineRule="atLeast"/>
        <w:jc w:val="both"/>
        <w:rPr>
          <w:rFonts w:asciiTheme="majorHAnsi" w:hAnsiTheme="majorHAnsi"/>
          <w:b/>
          <w:sz w:val="22"/>
          <w:szCs w:val="22"/>
        </w:rPr>
      </w:pPr>
    </w:p>
    <w:p w14:paraId="2B5D3037" w14:textId="77777777" w:rsidR="00CD3AB8" w:rsidRPr="00437050" w:rsidRDefault="00CD3AB8" w:rsidP="00437050">
      <w:pPr>
        <w:spacing w:line="120" w:lineRule="atLeast"/>
        <w:rPr>
          <w:rFonts w:asciiTheme="majorHAnsi" w:hAnsiTheme="majorHAnsi"/>
          <w:sz w:val="22"/>
          <w:szCs w:val="22"/>
        </w:rPr>
      </w:pPr>
    </w:p>
    <w:p w14:paraId="310F6EDF" w14:textId="77777777"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14:paraId="381D200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627D2A"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1AF8944" w14:textId="77777777" w:rsidTr="003D2D3C">
        <w:tc>
          <w:tcPr>
            <w:tcW w:w="9062" w:type="dxa"/>
          </w:tcPr>
          <w:p w14:paraId="6D689F2E"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62D3B80F" w14:textId="77777777" w:rsidTr="003D2D3C">
        <w:tc>
          <w:tcPr>
            <w:tcW w:w="9062" w:type="dxa"/>
          </w:tcPr>
          <w:p w14:paraId="2631E2BA"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F2C1539" w14:textId="77777777" w:rsidTr="003D2D3C">
        <w:tc>
          <w:tcPr>
            <w:tcW w:w="9062" w:type="dxa"/>
          </w:tcPr>
          <w:p w14:paraId="6F4904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0FA014BE" w14:textId="77777777" w:rsidTr="003D2D3C">
        <w:tc>
          <w:tcPr>
            <w:tcW w:w="9062" w:type="dxa"/>
          </w:tcPr>
          <w:p w14:paraId="39370AA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733F051F" w14:textId="77777777" w:rsidTr="003D2D3C">
        <w:tc>
          <w:tcPr>
            <w:tcW w:w="9062" w:type="dxa"/>
          </w:tcPr>
          <w:p w14:paraId="0B48645D" w14:textId="40D92A80"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9B0AD54" w14:textId="77777777" w:rsidTr="003D2D3C">
        <w:tc>
          <w:tcPr>
            <w:tcW w:w="9062" w:type="dxa"/>
          </w:tcPr>
          <w:p w14:paraId="53B45F1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169A2E8E" w14:textId="77777777" w:rsidTr="003D2D3C">
        <w:tc>
          <w:tcPr>
            <w:tcW w:w="9062" w:type="dxa"/>
          </w:tcPr>
          <w:p w14:paraId="19F63D4B" w14:textId="48BBFC72"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84E51BB" w14:textId="77777777" w:rsidTr="003D2D3C">
        <w:tc>
          <w:tcPr>
            <w:tcW w:w="9062" w:type="dxa"/>
          </w:tcPr>
          <w:p w14:paraId="33F8BBED"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32C69E51" w14:textId="77777777" w:rsidTr="003D2D3C">
        <w:tc>
          <w:tcPr>
            <w:tcW w:w="9062" w:type="dxa"/>
          </w:tcPr>
          <w:p w14:paraId="1FA25C9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076B8641" w14:textId="77777777" w:rsidTr="003D2D3C">
        <w:tc>
          <w:tcPr>
            <w:tcW w:w="9062" w:type="dxa"/>
          </w:tcPr>
          <w:p w14:paraId="08B4494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77DB9591" w14:textId="77777777" w:rsidTr="003D2D3C">
        <w:tc>
          <w:tcPr>
            <w:tcW w:w="9062" w:type="dxa"/>
          </w:tcPr>
          <w:p w14:paraId="430A293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EDD1A6B" w14:textId="77777777" w:rsidTr="003D2D3C">
        <w:tc>
          <w:tcPr>
            <w:tcW w:w="9062" w:type="dxa"/>
          </w:tcPr>
          <w:p w14:paraId="3E05C82C"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031EE9D2" w14:textId="77777777" w:rsidTr="003D2D3C">
        <w:tc>
          <w:tcPr>
            <w:tcW w:w="9062" w:type="dxa"/>
          </w:tcPr>
          <w:p w14:paraId="034B844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25ADEEB1" w14:textId="77777777" w:rsidTr="003D2D3C">
        <w:tc>
          <w:tcPr>
            <w:tcW w:w="9062" w:type="dxa"/>
          </w:tcPr>
          <w:p w14:paraId="53FCD61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6078B9AA" w14:textId="77777777" w:rsidTr="003D2D3C">
        <w:tc>
          <w:tcPr>
            <w:tcW w:w="9062" w:type="dxa"/>
          </w:tcPr>
          <w:p w14:paraId="1CAAD34C" w14:textId="6ED07688"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0F27A29A" w14:textId="77777777" w:rsidTr="003D2D3C">
        <w:tc>
          <w:tcPr>
            <w:tcW w:w="9062" w:type="dxa"/>
          </w:tcPr>
          <w:p w14:paraId="12778B4C" w14:textId="4E60266F"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4E10B5E3" w14:textId="77777777" w:rsidTr="003D2D3C">
        <w:tc>
          <w:tcPr>
            <w:tcW w:w="9062" w:type="dxa"/>
          </w:tcPr>
          <w:p w14:paraId="7E95A610"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1DB52F49" w14:textId="77777777" w:rsidTr="003D2D3C">
        <w:tc>
          <w:tcPr>
            <w:tcW w:w="9062" w:type="dxa"/>
          </w:tcPr>
          <w:p w14:paraId="721EABE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1C9FA9EF" w14:textId="77777777" w:rsidTr="003D2D3C">
        <w:tc>
          <w:tcPr>
            <w:tcW w:w="9062" w:type="dxa"/>
          </w:tcPr>
          <w:p w14:paraId="4AE3B4E6"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3446E927" w14:textId="77777777" w:rsidR="001218AA" w:rsidRPr="00437050" w:rsidRDefault="001218AA" w:rsidP="00437050">
      <w:pPr>
        <w:spacing w:line="120" w:lineRule="atLeast"/>
        <w:jc w:val="both"/>
        <w:rPr>
          <w:rFonts w:asciiTheme="majorHAnsi" w:hAnsiTheme="majorHAnsi"/>
          <w:sz w:val="22"/>
          <w:szCs w:val="22"/>
        </w:rPr>
      </w:pPr>
    </w:p>
    <w:p w14:paraId="1F6B40E8"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0A5BF8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50F512F9" w14:textId="77777777">
        <w:tc>
          <w:tcPr>
            <w:tcW w:w="9212" w:type="dxa"/>
          </w:tcPr>
          <w:p w14:paraId="21B251B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5BB2B43C" w14:textId="77777777">
        <w:tc>
          <w:tcPr>
            <w:tcW w:w="9212" w:type="dxa"/>
          </w:tcPr>
          <w:p w14:paraId="64E5B73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14:paraId="6EC958FD" w14:textId="77777777">
        <w:tc>
          <w:tcPr>
            <w:tcW w:w="9212" w:type="dxa"/>
          </w:tcPr>
          <w:p w14:paraId="71B95A47"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5AAC0A9" w14:textId="77777777">
        <w:tc>
          <w:tcPr>
            <w:tcW w:w="9212" w:type="dxa"/>
          </w:tcPr>
          <w:p w14:paraId="3D67E43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36617DBC" w14:textId="77777777">
        <w:tc>
          <w:tcPr>
            <w:tcW w:w="9212" w:type="dxa"/>
          </w:tcPr>
          <w:p w14:paraId="12ADF375"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znajduje</w:t>
            </w:r>
            <w:r w:rsidR="001218AA" w:rsidRPr="00437050">
              <w:rPr>
                <w:rFonts w:asciiTheme="majorHAnsi" w:hAnsiTheme="majorHAnsi"/>
                <w:sz w:val="22"/>
                <w:szCs w:val="22"/>
              </w:rPr>
              <w:t xml:space="preserve"> współrzędne wierzchołków wielokąta, gdy dane są równania prostych zawierających jego boki</w:t>
            </w:r>
          </w:p>
        </w:tc>
      </w:tr>
      <w:tr w:rsidR="001218AA" w:rsidRPr="00437050" w14:paraId="7F1BBE99" w14:textId="77777777">
        <w:tc>
          <w:tcPr>
            <w:tcW w:w="9212" w:type="dxa"/>
          </w:tcPr>
          <w:p w14:paraId="552171E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tekstowe prowadzące do układów równań liniowych z dwiema niewiadomymi</w:t>
            </w:r>
          </w:p>
        </w:tc>
      </w:tr>
      <w:tr w:rsidR="004559F3" w:rsidRPr="00437050" w14:paraId="568856EF" w14:textId="77777777">
        <w:tc>
          <w:tcPr>
            <w:tcW w:w="9212" w:type="dxa"/>
          </w:tcPr>
          <w:p w14:paraId="666BF44F"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477BFFAB" w14:textId="77777777" w:rsidR="001218AA" w:rsidRPr="00437050" w:rsidRDefault="001218AA" w:rsidP="00437050">
      <w:pPr>
        <w:spacing w:line="120" w:lineRule="atLeast"/>
        <w:jc w:val="both"/>
        <w:rPr>
          <w:rFonts w:asciiTheme="majorHAnsi" w:hAnsiTheme="majorHAnsi"/>
          <w:sz w:val="22"/>
          <w:szCs w:val="22"/>
        </w:rPr>
      </w:pPr>
    </w:p>
    <w:p w14:paraId="7B0C0BB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82AB8C9" w14:textId="33588EF8"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43BEDC5" w14:textId="77777777">
        <w:tc>
          <w:tcPr>
            <w:tcW w:w="9212" w:type="dxa"/>
          </w:tcPr>
          <w:p w14:paraId="39FFC52C"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462B5044" w14:textId="77777777">
        <w:tc>
          <w:tcPr>
            <w:tcW w:w="9212" w:type="dxa"/>
          </w:tcPr>
          <w:p w14:paraId="2A1D6EAB" w14:textId="67717F68"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1FC91B46" w14:textId="77777777">
        <w:tc>
          <w:tcPr>
            <w:tcW w:w="9212" w:type="dxa"/>
          </w:tcPr>
          <w:p w14:paraId="06B318BF"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9D2D372" w14:textId="77777777">
        <w:tc>
          <w:tcPr>
            <w:tcW w:w="9212" w:type="dxa"/>
          </w:tcPr>
          <w:p w14:paraId="012815A4" w14:textId="0831A548"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248D618D" w14:textId="77777777">
        <w:tc>
          <w:tcPr>
            <w:tcW w:w="9212" w:type="dxa"/>
          </w:tcPr>
          <w:p w14:paraId="2806B653"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5EE41811" w14:textId="77777777" w:rsidR="00B10C0F" w:rsidRPr="00437050" w:rsidRDefault="00B10C0F" w:rsidP="00437050">
      <w:pPr>
        <w:spacing w:line="120" w:lineRule="atLeast"/>
        <w:jc w:val="both"/>
        <w:rPr>
          <w:rFonts w:asciiTheme="majorHAnsi" w:hAnsiTheme="majorHAnsi"/>
          <w:b/>
          <w:sz w:val="22"/>
          <w:szCs w:val="22"/>
        </w:rPr>
      </w:pPr>
    </w:p>
    <w:p w14:paraId="6F7C26B4" w14:textId="77777777" w:rsidR="00DC2F33" w:rsidRDefault="00DC2F33" w:rsidP="00437050">
      <w:pPr>
        <w:pStyle w:val="Nagwek1"/>
        <w:spacing w:line="120" w:lineRule="atLeast"/>
        <w:rPr>
          <w:rFonts w:asciiTheme="majorHAnsi" w:hAnsiTheme="majorHAnsi"/>
          <w:szCs w:val="22"/>
        </w:rPr>
      </w:pPr>
    </w:p>
    <w:p w14:paraId="08E5C220" w14:textId="77777777" w:rsidR="000D1711" w:rsidRPr="000E37BC" w:rsidRDefault="000D1711" w:rsidP="00437050">
      <w:pPr>
        <w:pStyle w:val="Nagwek1"/>
        <w:spacing w:line="120" w:lineRule="atLeast"/>
        <w:rPr>
          <w:rFonts w:asciiTheme="majorHAnsi" w:hAnsiTheme="majorHAnsi"/>
          <w:szCs w:val="22"/>
        </w:rPr>
      </w:pPr>
      <w:r w:rsidRPr="000E37BC">
        <w:rPr>
          <w:rFonts w:asciiTheme="majorHAnsi" w:hAnsiTheme="majorHAnsi"/>
          <w:szCs w:val="22"/>
        </w:rPr>
        <w:t>6. PLANIMETRIA</w:t>
      </w:r>
    </w:p>
    <w:p w14:paraId="71550D7B"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6F308F0"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78FB6000" w14:textId="77777777" w:rsidTr="000D1711">
        <w:tc>
          <w:tcPr>
            <w:tcW w:w="9212" w:type="dxa"/>
          </w:tcPr>
          <w:p w14:paraId="14AAD6B3"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14:paraId="0CE1611C" w14:textId="77777777" w:rsidTr="000D1711">
        <w:tc>
          <w:tcPr>
            <w:tcW w:w="9212" w:type="dxa"/>
          </w:tcPr>
          <w:p w14:paraId="5E9ECB1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14:paraId="55824D53" w14:textId="77777777" w:rsidTr="000D1711">
        <w:tc>
          <w:tcPr>
            <w:tcW w:w="9212" w:type="dxa"/>
          </w:tcPr>
          <w:p w14:paraId="3D573468"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14:paraId="006AD8E7" w14:textId="77777777" w:rsidTr="000D1711">
        <w:tc>
          <w:tcPr>
            <w:tcW w:w="9212" w:type="dxa"/>
          </w:tcPr>
          <w:p w14:paraId="02DD574D" w14:textId="739E6F3B"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5DF8F882" w14:textId="77777777" w:rsidTr="000D1711">
        <w:tc>
          <w:tcPr>
            <w:tcW w:w="9212" w:type="dxa"/>
          </w:tcPr>
          <w:p w14:paraId="1E0FC4A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14:paraId="621D2573" w14:textId="77777777" w:rsidTr="000D1711">
        <w:tc>
          <w:tcPr>
            <w:tcW w:w="9212" w:type="dxa"/>
          </w:tcPr>
          <w:p w14:paraId="33626DDA" w14:textId="201E0D7E"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18CFBA1E" w14:textId="77777777" w:rsidTr="000D1711">
        <w:tc>
          <w:tcPr>
            <w:tcW w:w="9212" w:type="dxa"/>
          </w:tcPr>
          <w:p w14:paraId="1332A424"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14:paraId="1F02BC94" w14:textId="77777777" w:rsidTr="000D1711">
        <w:tc>
          <w:tcPr>
            <w:tcW w:w="9212" w:type="dxa"/>
          </w:tcPr>
          <w:p w14:paraId="7423DDD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14:paraId="48CB5628" w14:textId="77777777" w:rsidTr="000D1711">
        <w:tc>
          <w:tcPr>
            <w:tcW w:w="9212" w:type="dxa"/>
          </w:tcPr>
          <w:p w14:paraId="47093F3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14:paraId="2E58BE7A" w14:textId="77777777" w:rsidTr="000D1711">
        <w:tc>
          <w:tcPr>
            <w:tcW w:w="9212" w:type="dxa"/>
          </w:tcPr>
          <w:p w14:paraId="3BB51E5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14:paraId="3C1718F3" w14:textId="77777777" w:rsidTr="000D1711">
        <w:tc>
          <w:tcPr>
            <w:tcW w:w="9212" w:type="dxa"/>
          </w:tcPr>
          <w:p w14:paraId="1D9018E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14:paraId="6E592309" w14:textId="77777777" w:rsidTr="000D1711">
        <w:tc>
          <w:tcPr>
            <w:tcW w:w="9212" w:type="dxa"/>
          </w:tcPr>
          <w:p w14:paraId="5D24F8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14:paraId="1CAFEE20" w14:textId="77777777" w:rsidTr="000D1711">
        <w:tc>
          <w:tcPr>
            <w:tcW w:w="9212" w:type="dxa"/>
          </w:tcPr>
          <w:p w14:paraId="6CA1F7E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14:paraId="06739D39" w14:textId="77777777" w:rsidTr="000D1711">
        <w:tc>
          <w:tcPr>
            <w:tcW w:w="9212" w:type="dxa"/>
          </w:tcPr>
          <w:p w14:paraId="244F04B0" w14:textId="3BF85358"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14:paraId="25A37F49" w14:textId="77777777" w:rsidTr="000D1711">
        <w:tc>
          <w:tcPr>
            <w:tcW w:w="9212" w:type="dxa"/>
          </w:tcPr>
          <w:p w14:paraId="1C63398C" w14:textId="77777777"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14:paraId="0C56DBAE" w14:textId="77777777" w:rsidR="000D1711" w:rsidRPr="00437050" w:rsidRDefault="000D1711" w:rsidP="00437050">
      <w:pPr>
        <w:spacing w:line="120" w:lineRule="atLeast"/>
        <w:jc w:val="both"/>
        <w:rPr>
          <w:rFonts w:asciiTheme="majorHAnsi" w:hAnsiTheme="majorHAnsi"/>
          <w:sz w:val="22"/>
          <w:szCs w:val="22"/>
        </w:rPr>
      </w:pPr>
    </w:p>
    <w:p w14:paraId="7B36529D"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E0C37E9"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533" w:rsidRPr="00437050" w14:paraId="0A086FAC" w14:textId="77777777" w:rsidTr="000D1711">
        <w:tc>
          <w:tcPr>
            <w:tcW w:w="9212" w:type="dxa"/>
          </w:tcPr>
          <w:p w14:paraId="65C9CE9E"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14:paraId="1C688BE0" w14:textId="77777777" w:rsidTr="000D1711">
        <w:tc>
          <w:tcPr>
            <w:tcW w:w="9212" w:type="dxa"/>
          </w:tcPr>
          <w:p w14:paraId="00B0DF06"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14:paraId="0B5AF8C7" w14:textId="77777777" w:rsidTr="000D1711">
        <w:tc>
          <w:tcPr>
            <w:tcW w:w="9212" w:type="dxa"/>
          </w:tcPr>
          <w:p w14:paraId="71CAC7AC" w14:textId="40A23621"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14:paraId="64442738" w14:textId="77777777" w:rsidTr="000D1711">
        <w:tc>
          <w:tcPr>
            <w:tcW w:w="9212" w:type="dxa"/>
          </w:tcPr>
          <w:p w14:paraId="3C0699B9"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14:paraId="40D64D80" w14:textId="77777777" w:rsidTr="000D1711">
        <w:tc>
          <w:tcPr>
            <w:tcW w:w="9212" w:type="dxa"/>
          </w:tcPr>
          <w:p w14:paraId="25A18775"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14:paraId="46AC9370" w14:textId="77777777" w:rsidTr="000D1711">
        <w:tc>
          <w:tcPr>
            <w:tcW w:w="9212" w:type="dxa"/>
          </w:tcPr>
          <w:p w14:paraId="7867F19A"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14:paraId="6B5C6FB7" w14:textId="77777777" w:rsidTr="000D1711">
        <w:tc>
          <w:tcPr>
            <w:tcW w:w="9212" w:type="dxa"/>
          </w:tcPr>
          <w:p w14:paraId="65A0F824"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wykorzystując twierdzenie Talesa</w:t>
            </w:r>
          </w:p>
        </w:tc>
      </w:tr>
      <w:tr w:rsidR="00166533" w:rsidRPr="00437050" w14:paraId="52E03445" w14:textId="77777777" w:rsidTr="000D1711">
        <w:tc>
          <w:tcPr>
            <w:tcW w:w="9212" w:type="dxa"/>
          </w:tcPr>
          <w:p w14:paraId="5436BC3C"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14:paraId="7E42192C" w14:textId="77777777" w:rsidR="000D1711" w:rsidRPr="00437050" w:rsidRDefault="000D1711" w:rsidP="00437050">
      <w:pPr>
        <w:spacing w:line="120" w:lineRule="atLeast"/>
        <w:jc w:val="both"/>
        <w:rPr>
          <w:rFonts w:asciiTheme="majorHAnsi" w:hAnsiTheme="majorHAnsi"/>
          <w:sz w:val="22"/>
          <w:szCs w:val="22"/>
        </w:rPr>
      </w:pPr>
    </w:p>
    <w:p w14:paraId="48CCB295"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6FEBD2DF" w14:textId="5E2E10A3"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03C7162E" w14:textId="77777777" w:rsidTr="000D1711">
        <w:tc>
          <w:tcPr>
            <w:tcW w:w="9212" w:type="dxa"/>
          </w:tcPr>
          <w:p w14:paraId="45059F8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14:paraId="389806DB" w14:textId="77777777" w:rsidTr="000D1711">
        <w:tc>
          <w:tcPr>
            <w:tcW w:w="9212" w:type="dxa"/>
          </w:tcPr>
          <w:p w14:paraId="07AAA567" w14:textId="665D2BE4"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14:paraId="68EB43B2" w14:textId="77777777" w:rsidTr="000D1711">
        <w:tc>
          <w:tcPr>
            <w:tcW w:w="9212" w:type="dxa"/>
          </w:tcPr>
          <w:p w14:paraId="3B4BE0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14:paraId="6A4B4D73" w14:textId="77777777" w:rsidTr="000D1711">
        <w:tc>
          <w:tcPr>
            <w:tcW w:w="9212" w:type="dxa"/>
          </w:tcPr>
          <w:p w14:paraId="249103CB" w14:textId="1F69B700"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14:paraId="6CB56EBB" w14:textId="77777777" w:rsidTr="000D1711">
        <w:tc>
          <w:tcPr>
            <w:tcW w:w="9212" w:type="dxa"/>
          </w:tcPr>
          <w:p w14:paraId="65E71249"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14:paraId="0765F193" w14:textId="77777777" w:rsidR="000D1711" w:rsidRPr="00437050" w:rsidRDefault="000D1711" w:rsidP="00437050">
      <w:pPr>
        <w:spacing w:line="120" w:lineRule="atLeast"/>
        <w:jc w:val="both"/>
        <w:rPr>
          <w:rFonts w:asciiTheme="majorHAnsi" w:hAnsiTheme="majorHAnsi"/>
          <w:b/>
          <w:sz w:val="22"/>
          <w:szCs w:val="22"/>
        </w:rPr>
      </w:pPr>
    </w:p>
    <w:p w14:paraId="6CF14EC5" w14:textId="77777777" w:rsidR="00DC2F33" w:rsidRDefault="00DC2F33" w:rsidP="00437050">
      <w:pPr>
        <w:spacing w:line="120" w:lineRule="atLeast"/>
        <w:jc w:val="both"/>
        <w:rPr>
          <w:rFonts w:asciiTheme="majorHAnsi" w:hAnsiTheme="majorHAnsi"/>
          <w:b/>
        </w:rPr>
      </w:pPr>
    </w:p>
    <w:p w14:paraId="0067C884" w14:textId="37F4DA41" w:rsidR="001218AA" w:rsidRPr="000E37BC" w:rsidRDefault="00B10C0F" w:rsidP="00437050">
      <w:pPr>
        <w:spacing w:line="120" w:lineRule="atLeast"/>
        <w:jc w:val="both"/>
        <w:rPr>
          <w:rFonts w:asciiTheme="majorHAnsi" w:hAnsiTheme="majorHAnsi"/>
          <w:b/>
          <w:bCs/>
        </w:rPr>
      </w:pPr>
      <w:r w:rsidRPr="000E37BC">
        <w:rPr>
          <w:rFonts w:asciiTheme="majorHAnsi" w:hAnsiTheme="majorHAnsi"/>
          <w:b/>
        </w:rPr>
        <w:t>7</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14:paraId="288427A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70F0FD64"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72F34F58" w14:textId="77777777">
        <w:tc>
          <w:tcPr>
            <w:tcW w:w="9212" w:type="dxa"/>
          </w:tcPr>
          <w:p w14:paraId="6835CC81"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w14:anchorId="11EA6ADF">
                <v:shape id="_x0000_i1035" type="#_x0000_t75" style="width:47.4pt;height:17.4pt" o:ole="">
                  <v:imagedata r:id="rId28" o:title=""/>
                </v:shape>
                <o:OLEObject Type="Embed" ProgID="Equation.3" ShapeID="_x0000_i1035" DrawAspect="Content" ObjectID="_1692007421" r:id="rId29"/>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A5ABD6D" w14:textId="77777777">
        <w:tc>
          <w:tcPr>
            <w:tcW w:w="9212" w:type="dxa"/>
          </w:tcPr>
          <w:p w14:paraId="7B37E50A"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14:paraId="0779C067" w14:textId="77777777">
        <w:tc>
          <w:tcPr>
            <w:tcW w:w="9212" w:type="dxa"/>
          </w:tcPr>
          <w:p w14:paraId="7621BDC2"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4242D59" w14:textId="77777777">
        <w:tc>
          <w:tcPr>
            <w:tcW w:w="9212" w:type="dxa"/>
          </w:tcPr>
          <w:p w14:paraId="64D6EBE2" w14:textId="4765C781"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w14:anchorId="6912AFC5">
                <v:shape id="_x0000_i1036" type="#_x0000_t75" style="width:47.4pt;height:17.4pt" o:ole="">
                  <v:imagedata r:id="rId28" o:title=""/>
                </v:shape>
                <o:OLEObject Type="Embed" ProgID="Equation.3" ShapeID="_x0000_i1036" DrawAspect="Content" ObjectID="_1692007422" r:id="rId30"/>
              </w:object>
            </w:r>
          </w:p>
        </w:tc>
      </w:tr>
      <w:tr w:rsidR="001218AA" w:rsidRPr="00437050" w14:paraId="7A272A67" w14:textId="77777777">
        <w:tc>
          <w:tcPr>
            <w:tcW w:w="9212" w:type="dxa"/>
          </w:tcPr>
          <w:p w14:paraId="1AEC668F" w14:textId="26A37C2D"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14:paraId="53818BDB" w14:textId="77777777">
        <w:tc>
          <w:tcPr>
            <w:tcW w:w="9212" w:type="dxa"/>
          </w:tcPr>
          <w:p w14:paraId="4B92A2EF" w14:textId="77777777"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14:paraId="2CB4EDDB" w14:textId="77777777">
        <w:tc>
          <w:tcPr>
            <w:tcW w:w="9212" w:type="dxa"/>
          </w:tcPr>
          <w:p w14:paraId="2BDF3304"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14:paraId="4002C6E9" w14:textId="77777777">
        <w:tc>
          <w:tcPr>
            <w:tcW w:w="9212" w:type="dxa"/>
          </w:tcPr>
          <w:p w14:paraId="3415B663" w14:textId="6568A598"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14:paraId="4595B568" w14:textId="77777777" w:rsidR="001218AA" w:rsidRPr="00437050" w:rsidRDefault="001218AA" w:rsidP="00437050">
      <w:pPr>
        <w:spacing w:line="120" w:lineRule="atLeast"/>
        <w:jc w:val="both"/>
        <w:rPr>
          <w:rFonts w:asciiTheme="majorHAnsi" w:hAnsiTheme="majorHAnsi"/>
          <w:sz w:val="22"/>
          <w:szCs w:val="22"/>
        </w:rPr>
      </w:pPr>
    </w:p>
    <w:p w14:paraId="1B5D2BAD"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0615DF8"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F1B75" w:rsidRPr="00437050" w14:paraId="5A5BB952" w14:textId="77777777">
        <w:tc>
          <w:tcPr>
            <w:tcW w:w="9212" w:type="dxa"/>
          </w:tcPr>
          <w:p w14:paraId="125ECFEF" w14:textId="77777777"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14:paraId="630B7C60" w14:textId="77777777">
        <w:tc>
          <w:tcPr>
            <w:tcW w:w="9212" w:type="dxa"/>
          </w:tcPr>
          <w:p w14:paraId="0BE17328" w14:textId="7AA592CE"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14:paraId="470BA686" w14:textId="77777777">
        <w:tc>
          <w:tcPr>
            <w:tcW w:w="9212" w:type="dxa"/>
          </w:tcPr>
          <w:p w14:paraId="4AAF6D94" w14:textId="77777777"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14:paraId="250041C4" w14:textId="77777777" w:rsidR="00C3709C" w:rsidRPr="00437050" w:rsidRDefault="00C3709C" w:rsidP="00437050">
      <w:pPr>
        <w:spacing w:line="120" w:lineRule="atLeast"/>
        <w:jc w:val="both"/>
        <w:rPr>
          <w:rFonts w:asciiTheme="majorHAnsi" w:hAnsiTheme="majorHAnsi"/>
          <w:sz w:val="22"/>
          <w:szCs w:val="22"/>
        </w:rPr>
      </w:pPr>
    </w:p>
    <w:p w14:paraId="15E7C2F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772E36A5" w14:textId="719A708E"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08FA1E43" w14:textId="77777777">
        <w:tc>
          <w:tcPr>
            <w:tcW w:w="9212" w:type="dxa"/>
          </w:tcPr>
          <w:p w14:paraId="42F34064" w14:textId="77777777"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14:paraId="6B575FD3" w14:textId="77777777">
        <w:tc>
          <w:tcPr>
            <w:tcW w:w="9212" w:type="dxa"/>
          </w:tcPr>
          <w:p w14:paraId="7E67B352"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14:paraId="4229709A" w14:textId="77777777">
        <w:tc>
          <w:tcPr>
            <w:tcW w:w="9212" w:type="dxa"/>
          </w:tcPr>
          <w:p w14:paraId="1204186B" w14:textId="77777777"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14:paraId="4AD19278" w14:textId="77777777" w:rsidR="000F528D" w:rsidRPr="00437050" w:rsidRDefault="000F528D" w:rsidP="00437050">
      <w:pPr>
        <w:pStyle w:val="Nagwek1"/>
        <w:spacing w:line="120" w:lineRule="atLeast"/>
        <w:rPr>
          <w:rFonts w:asciiTheme="majorHAnsi" w:hAnsiTheme="majorHAnsi"/>
          <w:sz w:val="22"/>
          <w:szCs w:val="22"/>
        </w:rPr>
      </w:pPr>
    </w:p>
    <w:p w14:paraId="64ECED38" w14:textId="24058C0D" w:rsidR="000F528D" w:rsidRDefault="000F528D" w:rsidP="00437050">
      <w:pPr>
        <w:spacing w:line="120" w:lineRule="atLeast"/>
        <w:jc w:val="both"/>
        <w:rPr>
          <w:rFonts w:asciiTheme="majorHAnsi" w:hAnsiTheme="majorHAnsi"/>
          <w:b/>
          <w:bCs/>
          <w:sz w:val="22"/>
          <w:szCs w:val="22"/>
        </w:rPr>
      </w:pPr>
    </w:p>
    <w:p w14:paraId="728D9B81" w14:textId="77777777" w:rsidR="00E30D53" w:rsidRPr="00647C09" w:rsidRDefault="00E30D53" w:rsidP="00E30D53">
      <w:pPr>
        <w:jc w:val="center"/>
        <w:rPr>
          <w:b/>
          <w:bCs/>
        </w:rPr>
      </w:pPr>
      <w:r w:rsidRPr="00647C09">
        <w:rPr>
          <w:b/>
          <w:bCs/>
        </w:rPr>
        <w:t>O</w:t>
      </w:r>
      <w:r>
        <w:rPr>
          <w:b/>
          <w:bCs/>
        </w:rPr>
        <w:t>CENIANIE</w:t>
      </w:r>
    </w:p>
    <w:p w14:paraId="3D939C6C" w14:textId="77777777" w:rsidR="00E30D53" w:rsidRPr="001F459D" w:rsidRDefault="00E30D53" w:rsidP="00E30D53">
      <w:pPr>
        <w:jc w:val="both"/>
        <w:rPr>
          <w:b/>
          <w:bCs/>
          <w:u w:val="single"/>
        </w:rPr>
      </w:pPr>
    </w:p>
    <w:p w14:paraId="62E4BF1D" w14:textId="77777777" w:rsidR="00E30D53" w:rsidRPr="001F459D" w:rsidRDefault="00E30D53" w:rsidP="00E30D53">
      <w:pPr>
        <w:pStyle w:val="Akapitzlist"/>
        <w:numPr>
          <w:ilvl w:val="1"/>
          <w:numId w:val="20"/>
        </w:numPr>
        <w:ind w:left="426" w:hanging="426"/>
        <w:jc w:val="both"/>
        <w:rPr>
          <w:sz w:val="22"/>
          <w:szCs w:val="22"/>
        </w:rPr>
      </w:pPr>
      <w:r>
        <w:t>Do prac pisemnych ocenianych punktowo stosuje się następujące progi procentowe:</w:t>
      </w:r>
    </w:p>
    <w:p w14:paraId="7C849A3E" w14:textId="77777777" w:rsidR="00E30D53" w:rsidRDefault="00E30D53" w:rsidP="00E30D53">
      <w:pPr>
        <w:ind w:left="426" w:hanging="426"/>
        <w:rPr>
          <w:sz w:val="22"/>
          <w:szCs w:val="22"/>
        </w:rPr>
      </w:pPr>
    </w:p>
    <w:tbl>
      <w:tblPr>
        <w:tblStyle w:val="Tabela-Siatka"/>
        <w:tblW w:w="0" w:type="auto"/>
        <w:tblInd w:w="1271" w:type="dxa"/>
        <w:tblLook w:val="04A0" w:firstRow="1" w:lastRow="0" w:firstColumn="1" w:lastColumn="0" w:noHBand="0" w:noVBand="1"/>
      </w:tblPr>
      <w:tblGrid>
        <w:gridCol w:w="2835"/>
        <w:gridCol w:w="2977"/>
      </w:tblGrid>
      <w:tr w:rsidR="00E30D53" w:rsidRPr="007B4286" w14:paraId="19C8FAF3" w14:textId="77777777" w:rsidTr="008D1A7C">
        <w:trPr>
          <w:trHeight w:val="397"/>
        </w:trPr>
        <w:tc>
          <w:tcPr>
            <w:tcW w:w="2835" w:type="dxa"/>
            <w:vAlign w:val="center"/>
          </w:tcPr>
          <w:p w14:paraId="061E2D25" w14:textId="77777777" w:rsidR="00E30D53" w:rsidRDefault="00E30D53" w:rsidP="008D1A7C">
            <w:pPr>
              <w:ind w:left="426" w:hanging="426"/>
              <w:jc w:val="center"/>
              <w:rPr>
                <w:b/>
                <w:bCs/>
              </w:rPr>
            </w:pPr>
            <w:r w:rsidRPr="007B4286">
              <w:rPr>
                <w:b/>
                <w:bCs/>
              </w:rPr>
              <w:lastRenderedPageBreak/>
              <w:t>Próg procentowy</w:t>
            </w:r>
          </w:p>
          <w:p w14:paraId="4EB69837" w14:textId="77777777" w:rsidR="00E30D53" w:rsidRPr="007B4286" w:rsidRDefault="00E30D53" w:rsidP="008D1A7C">
            <w:pPr>
              <w:ind w:left="426" w:hanging="426"/>
              <w:jc w:val="center"/>
              <w:rPr>
                <w:b/>
                <w:bCs/>
              </w:rPr>
            </w:pPr>
            <w:r>
              <w:rPr>
                <w:b/>
                <w:bCs/>
              </w:rPr>
              <w:t>punktacji za pracę</w:t>
            </w:r>
          </w:p>
        </w:tc>
        <w:tc>
          <w:tcPr>
            <w:tcW w:w="2977" w:type="dxa"/>
            <w:vAlign w:val="center"/>
          </w:tcPr>
          <w:p w14:paraId="4DFA6386" w14:textId="77777777" w:rsidR="00E30D53" w:rsidRPr="007B4286" w:rsidRDefault="00E30D53" w:rsidP="008D1A7C">
            <w:pPr>
              <w:ind w:left="426" w:hanging="426"/>
              <w:jc w:val="center"/>
              <w:rPr>
                <w:b/>
                <w:bCs/>
              </w:rPr>
            </w:pPr>
            <w:r>
              <w:rPr>
                <w:b/>
                <w:bCs/>
              </w:rPr>
              <w:t>Stopień</w:t>
            </w:r>
          </w:p>
        </w:tc>
      </w:tr>
      <w:tr w:rsidR="00E30D53" w:rsidRPr="007B4286" w14:paraId="624A3930" w14:textId="77777777" w:rsidTr="008D1A7C">
        <w:trPr>
          <w:trHeight w:val="397"/>
        </w:trPr>
        <w:tc>
          <w:tcPr>
            <w:tcW w:w="2835" w:type="dxa"/>
            <w:vAlign w:val="center"/>
          </w:tcPr>
          <w:p w14:paraId="4E500C00" w14:textId="77777777" w:rsidR="00E30D53" w:rsidRPr="007B4286" w:rsidRDefault="00E30D53" w:rsidP="008D1A7C">
            <w:pPr>
              <w:ind w:left="426" w:hanging="426"/>
              <w:jc w:val="center"/>
            </w:pPr>
            <w:r>
              <w:t>poniżej 35%</w:t>
            </w:r>
          </w:p>
        </w:tc>
        <w:tc>
          <w:tcPr>
            <w:tcW w:w="2977" w:type="dxa"/>
            <w:vAlign w:val="center"/>
          </w:tcPr>
          <w:p w14:paraId="6FE94007" w14:textId="77777777" w:rsidR="00E30D53" w:rsidRPr="007B4286" w:rsidRDefault="00E30D53" w:rsidP="008D1A7C">
            <w:pPr>
              <w:ind w:left="426" w:hanging="426"/>
              <w:jc w:val="center"/>
            </w:pPr>
            <w:r>
              <w:t>n</w:t>
            </w:r>
            <w:r w:rsidRPr="007B4286">
              <w:t>iedostateczny</w:t>
            </w:r>
          </w:p>
        </w:tc>
      </w:tr>
      <w:tr w:rsidR="00E30D53" w:rsidRPr="007B4286" w14:paraId="02C20232" w14:textId="77777777" w:rsidTr="008D1A7C">
        <w:trPr>
          <w:trHeight w:val="397"/>
        </w:trPr>
        <w:tc>
          <w:tcPr>
            <w:tcW w:w="2835" w:type="dxa"/>
            <w:vAlign w:val="center"/>
          </w:tcPr>
          <w:p w14:paraId="5480CEF6" w14:textId="77777777" w:rsidR="00E30D53" w:rsidRPr="007B4286" w:rsidRDefault="00E30D53" w:rsidP="008D1A7C">
            <w:pPr>
              <w:ind w:left="426" w:hanging="426"/>
              <w:jc w:val="center"/>
            </w:pPr>
            <w:r>
              <w:t>od 35%</w:t>
            </w:r>
          </w:p>
        </w:tc>
        <w:tc>
          <w:tcPr>
            <w:tcW w:w="2977" w:type="dxa"/>
            <w:vAlign w:val="center"/>
          </w:tcPr>
          <w:p w14:paraId="6C909C1D" w14:textId="77777777" w:rsidR="00E30D53" w:rsidRPr="007B4286" w:rsidRDefault="00E30D53" w:rsidP="008D1A7C">
            <w:pPr>
              <w:ind w:left="426" w:hanging="426"/>
              <w:jc w:val="center"/>
            </w:pPr>
            <w:r>
              <w:t>d</w:t>
            </w:r>
            <w:r w:rsidRPr="007B4286">
              <w:t>opuszczający</w:t>
            </w:r>
          </w:p>
        </w:tc>
      </w:tr>
      <w:tr w:rsidR="00E30D53" w:rsidRPr="007B4286" w14:paraId="3995D54B" w14:textId="77777777" w:rsidTr="008D1A7C">
        <w:trPr>
          <w:trHeight w:val="397"/>
        </w:trPr>
        <w:tc>
          <w:tcPr>
            <w:tcW w:w="2835" w:type="dxa"/>
            <w:vAlign w:val="center"/>
          </w:tcPr>
          <w:p w14:paraId="67DADCCD" w14:textId="77777777" w:rsidR="00E30D53" w:rsidRPr="007B4286" w:rsidRDefault="00E30D53" w:rsidP="008D1A7C">
            <w:pPr>
              <w:ind w:left="426" w:hanging="426"/>
              <w:jc w:val="center"/>
            </w:pPr>
            <w:r>
              <w:t>od 50%</w:t>
            </w:r>
          </w:p>
        </w:tc>
        <w:tc>
          <w:tcPr>
            <w:tcW w:w="2977" w:type="dxa"/>
            <w:vAlign w:val="center"/>
          </w:tcPr>
          <w:p w14:paraId="52559DDC" w14:textId="77777777" w:rsidR="00E30D53" w:rsidRPr="007B4286" w:rsidRDefault="00E30D53" w:rsidP="008D1A7C">
            <w:pPr>
              <w:ind w:left="426" w:hanging="426"/>
              <w:jc w:val="center"/>
            </w:pPr>
            <w:r>
              <w:t>d</w:t>
            </w:r>
            <w:r w:rsidRPr="007B4286">
              <w:t>ostateczny</w:t>
            </w:r>
          </w:p>
        </w:tc>
      </w:tr>
      <w:tr w:rsidR="00E30D53" w:rsidRPr="007B4286" w14:paraId="0AF8FA9C" w14:textId="77777777" w:rsidTr="008D1A7C">
        <w:trPr>
          <w:trHeight w:val="397"/>
        </w:trPr>
        <w:tc>
          <w:tcPr>
            <w:tcW w:w="2835" w:type="dxa"/>
            <w:vAlign w:val="center"/>
          </w:tcPr>
          <w:p w14:paraId="442465F4" w14:textId="77777777" w:rsidR="00E30D53" w:rsidRPr="007B4286" w:rsidRDefault="00E30D53" w:rsidP="008D1A7C">
            <w:pPr>
              <w:ind w:left="426" w:hanging="426"/>
              <w:jc w:val="center"/>
            </w:pPr>
            <w:r>
              <w:t>od 75%</w:t>
            </w:r>
          </w:p>
        </w:tc>
        <w:tc>
          <w:tcPr>
            <w:tcW w:w="2977" w:type="dxa"/>
            <w:vAlign w:val="center"/>
          </w:tcPr>
          <w:p w14:paraId="436814F6" w14:textId="77777777" w:rsidR="00E30D53" w:rsidRPr="007B4286" w:rsidRDefault="00E30D53" w:rsidP="008D1A7C">
            <w:pPr>
              <w:ind w:left="426" w:hanging="426"/>
              <w:jc w:val="center"/>
            </w:pPr>
            <w:r>
              <w:t>d</w:t>
            </w:r>
            <w:r w:rsidRPr="007B4286">
              <w:t>obry</w:t>
            </w:r>
          </w:p>
        </w:tc>
      </w:tr>
      <w:tr w:rsidR="00E30D53" w:rsidRPr="007B4286" w14:paraId="7F980A02" w14:textId="77777777" w:rsidTr="008D1A7C">
        <w:trPr>
          <w:trHeight w:val="397"/>
        </w:trPr>
        <w:tc>
          <w:tcPr>
            <w:tcW w:w="2835" w:type="dxa"/>
            <w:vAlign w:val="center"/>
          </w:tcPr>
          <w:p w14:paraId="0CB2F2F7" w14:textId="77777777" w:rsidR="00E30D53" w:rsidRPr="007B4286" w:rsidRDefault="00E30D53" w:rsidP="008D1A7C">
            <w:pPr>
              <w:ind w:left="426" w:hanging="426"/>
              <w:jc w:val="center"/>
            </w:pPr>
            <w:r>
              <w:t>od 90%</w:t>
            </w:r>
          </w:p>
        </w:tc>
        <w:tc>
          <w:tcPr>
            <w:tcW w:w="2977" w:type="dxa"/>
            <w:vAlign w:val="center"/>
          </w:tcPr>
          <w:p w14:paraId="481F9B5D" w14:textId="77777777" w:rsidR="00E30D53" w:rsidRPr="007B4286" w:rsidRDefault="00E30D53" w:rsidP="008D1A7C">
            <w:pPr>
              <w:ind w:left="426" w:hanging="426"/>
              <w:jc w:val="center"/>
            </w:pPr>
            <w:r>
              <w:t>b</w:t>
            </w:r>
            <w:r w:rsidRPr="007B4286">
              <w:t>ardzo dobry</w:t>
            </w:r>
          </w:p>
        </w:tc>
      </w:tr>
      <w:tr w:rsidR="00E30D53" w:rsidRPr="007B4286" w14:paraId="70247F0E" w14:textId="77777777" w:rsidTr="008D1A7C">
        <w:trPr>
          <w:trHeight w:val="397"/>
        </w:trPr>
        <w:tc>
          <w:tcPr>
            <w:tcW w:w="2835" w:type="dxa"/>
            <w:vAlign w:val="center"/>
          </w:tcPr>
          <w:p w14:paraId="06C4FD05" w14:textId="77777777" w:rsidR="00E30D53" w:rsidRPr="007B4286" w:rsidRDefault="00E30D53" w:rsidP="008D1A7C">
            <w:pPr>
              <w:ind w:left="426" w:hanging="426"/>
              <w:jc w:val="center"/>
            </w:pPr>
            <w:r>
              <w:t>100%</w:t>
            </w:r>
          </w:p>
        </w:tc>
        <w:tc>
          <w:tcPr>
            <w:tcW w:w="2977" w:type="dxa"/>
            <w:vAlign w:val="center"/>
          </w:tcPr>
          <w:p w14:paraId="4E2B59E5" w14:textId="77777777" w:rsidR="00E30D53" w:rsidRPr="007B4286" w:rsidRDefault="00E30D53" w:rsidP="008D1A7C">
            <w:pPr>
              <w:ind w:left="426" w:hanging="426"/>
              <w:jc w:val="center"/>
            </w:pPr>
            <w:r w:rsidRPr="007B4286">
              <w:t>celujący</w:t>
            </w:r>
          </w:p>
        </w:tc>
      </w:tr>
    </w:tbl>
    <w:p w14:paraId="432B2642" w14:textId="77777777" w:rsidR="00E30D53" w:rsidRDefault="00E30D53" w:rsidP="00E30D53">
      <w:pPr>
        <w:ind w:left="426" w:hanging="426"/>
        <w:jc w:val="both"/>
        <w:rPr>
          <w:sz w:val="22"/>
          <w:szCs w:val="22"/>
        </w:rPr>
      </w:pPr>
    </w:p>
    <w:p w14:paraId="69679AA6" w14:textId="77777777" w:rsidR="00E30D53" w:rsidRDefault="00E30D53" w:rsidP="00E30D53">
      <w:pPr>
        <w:pStyle w:val="Akapitzlist"/>
        <w:numPr>
          <w:ilvl w:val="1"/>
          <w:numId w:val="20"/>
        </w:numPr>
        <w:ind w:left="426" w:hanging="426"/>
        <w:jc w:val="both"/>
      </w:pPr>
      <w:r>
        <w:t xml:space="preserve">Ocena śródroczna i roczna wyznaczona jest średnią ważoną, którą oblicza się według następujących zasad: </w:t>
      </w:r>
    </w:p>
    <w:p w14:paraId="46A4C8FE" w14:textId="77777777" w:rsidR="00E30D53" w:rsidRDefault="00E30D53" w:rsidP="00E30D53">
      <w:pPr>
        <w:pStyle w:val="Akapitzlist"/>
        <w:ind w:left="709" w:hanging="283"/>
        <w:jc w:val="both"/>
      </w:pPr>
      <w:r>
        <w:t xml:space="preserve">1) waga 1 – np.: praca w grupach, zadanie domowe, bieżąca aktywność na lekcji, zeszyt przedmiotowy; </w:t>
      </w:r>
    </w:p>
    <w:p w14:paraId="3ABF8753" w14:textId="77777777" w:rsidR="00E30D53" w:rsidRDefault="00E30D53" w:rsidP="00E30D53">
      <w:pPr>
        <w:pStyle w:val="Akapitzlist"/>
        <w:ind w:left="709" w:hanging="283"/>
        <w:jc w:val="both"/>
      </w:pPr>
      <w:r>
        <w:t xml:space="preserve">2) waga 2 – np.: kartkówka, odpowiedź ustna, prace dodatkowe o wysokim stopniu trudności; </w:t>
      </w:r>
    </w:p>
    <w:p w14:paraId="60B746D4" w14:textId="77777777" w:rsidR="00E30D53" w:rsidRDefault="00E30D53" w:rsidP="00E30D53">
      <w:pPr>
        <w:pStyle w:val="Akapitzlist"/>
        <w:ind w:left="709" w:hanging="283"/>
        <w:jc w:val="both"/>
      </w:pPr>
      <w:r>
        <w:t>3) waga 3 – praca klasowa i jej poprawa, sprawdzian obejmujący materiał z powyżej 3 lekcji i jego poprawa, testy wiadomości i umiejętności;</w:t>
      </w:r>
    </w:p>
    <w:p w14:paraId="72251E63" w14:textId="77777777" w:rsidR="00E30D53" w:rsidRDefault="00E30D53" w:rsidP="00E30D53">
      <w:pPr>
        <w:pStyle w:val="Akapitzlist"/>
        <w:ind w:left="709" w:hanging="283"/>
        <w:jc w:val="both"/>
      </w:pPr>
      <w:r>
        <w:t>4) wagi za udział w konkursach i olimpiadach przedmiotowych ustala nauczyciel w swoich przedmiotowych zasadach oceniania w zakresie wagi od 1 do 5 (przyjmując wagę 5 dla etapu centralnego, wagę 1 dla etapu szkolnego).</w:t>
      </w:r>
    </w:p>
    <w:p w14:paraId="150BA0F9" w14:textId="77777777" w:rsidR="00E30D53" w:rsidRDefault="00E30D53" w:rsidP="00E30D53">
      <w:pPr>
        <w:pStyle w:val="Akapitzlist"/>
        <w:ind w:left="426" w:hanging="426"/>
        <w:jc w:val="both"/>
      </w:pPr>
      <w:r>
        <w:t xml:space="preserve">3. Dopuszcza się inne dostosowanie wag do wymagań poszczególnych nauczycieli, którzy przedstawiają to w swoich przedmiotowych zasadach oceniania (wagi w zakresie od 1 do 3). </w:t>
      </w:r>
    </w:p>
    <w:p w14:paraId="7A2B1E3C" w14:textId="77777777" w:rsidR="00E30D53" w:rsidRDefault="00E30D53" w:rsidP="00E30D53">
      <w:pPr>
        <w:pStyle w:val="Akapitzlist"/>
        <w:ind w:left="426" w:hanging="426"/>
        <w:jc w:val="both"/>
      </w:pPr>
      <w:r>
        <w:t xml:space="preserve">4. Ocena śródroczna i roczna wyznaczana jest wg uzyskanej średniej ważonej ocen z przedmiotu: </w:t>
      </w:r>
    </w:p>
    <w:p w14:paraId="6333E353" w14:textId="77777777" w:rsidR="00E30D53" w:rsidRDefault="00E30D53" w:rsidP="00E30D53">
      <w:pPr>
        <w:pStyle w:val="Akapitzlist"/>
        <w:ind w:left="426" w:hanging="426"/>
        <w:jc w:val="both"/>
      </w:pPr>
    </w:p>
    <w:tbl>
      <w:tblPr>
        <w:tblStyle w:val="Tabela-Siatka"/>
        <w:tblW w:w="0" w:type="auto"/>
        <w:tblInd w:w="1271" w:type="dxa"/>
        <w:tblLook w:val="04A0" w:firstRow="1" w:lastRow="0" w:firstColumn="1" w:lastColumn="0" w:noHBand="0" w:noVBand="1"/>
      </w:tblPr>
      <w:tblGrid>
        <w:gridCol w:w="2835"/>
        <w:gridCol w:w="2977"/>
      </w:tblGrid>
      <w:tr w:rsidR="00E30D53" w:rsidRPr="007B4286" w14:paraId="7B2EB18E" w14:textId="77777777" w:rsidTr="008D1A7C">
        <w:trPr>
          <w:trHeight w:val="397"/>
        </w:trPr>
        <w:tc>
          <w:tcPr>
            <w:tcW w:w="2835" w:type="dxa"/>
            <w:vAlign w:val="center"/>
          </w:tcPr>
          <w:p w14:paraId="58A4C6FC" w14:textId="77777777" w:rsidR="00E30D53" w:rsidRPr="007B4286" w:rsidRDefault="00E30D53" w:rsidP="008D1A7C">
            <w:pPr>
              <w:ind w:left="426" w:hanging="426"/>
              <w:jc w:val="center"/>
              <w:rPr>
                <w:b/>
                <w:bCs/>
              </w:rPr>
            </w:pPr>
            <w:r>
              <w:rPr>
                <w:b/>
                <w:bCs/>
              </w:rPr>
              <w:t>Ocena śródroczna/roczna</w:t>
            </w:r>
          </w:p>
        </w:tc>
        <w:tc>
          <w:tcPr>
            <w:tcW w:w="2977" w:type="dxa"/>
            <w:vAlign w:val="center"/>
          </w:tcPr>
          <w:p w14:paraId="44729799" w14:textId="77777777" w:rsidR="00E30D53" w:rsidRPr="007B4286" w:rsidRDefault="00E30D53" w:rsidP="008D1A7C">
            <w:pPr>
              <w:ind w:left="426" w:hanging="426"/>
              <w:jc w:val="center"/>
              <w:rPr>
                <w:b/>
                <w:bCs/>
              </w:rPr>
            </w:pPr>
            <w:r>
              <w:rPr>
                <w:b/>
                <w:bCs/>
              </w:rPr>
              <w:t>Uzyskana średnia ważona</w:t>
            </w:r>
          </w:p>
        </w:tc>
      </w:tr>
      <w:tr w:rsidR="00E30D53" w:rsidRPr="007B4286" w14:paraId="363610AB" w14:textId="77777777" w:rsidTr="008D1A7C">
        <w:trPr>
          <w:trHeight w:val="397"/>
        </w:trPr>
        <w:tc>
          <w:tcPr>
            <w:tcW w:w="2835" w:type="dxa"/>
            <w:vAlign w:val="center"/>
          </w:tcPr>
          <w:p w14:paraId="495E80C8" w14:textId="77777777" w:rsidR="00E30D53" w:rsidRPr="007B4286" w:rsidRDefault="00E30D53" w:rsidP="008D1A7C">
            <w:pPr>
              <w:ind w:left="426" w:hanging="426"/>
              <w:jc w:val="center"/>
            </w:pPr>
            <w:r w:rsidRPr="007B4286">
              <w:t>celujący</w:t>
            </w:r>
          </w:p>
        </w:tc>
        <w:tc>
          <w:tcPr>
            <w:tcW w:w="2977" w:type="dxa"/>
            <w:vAlign w:val="center"/>
          </w:tcPr>
          <w:p w14:paraId="497F5D96" w14:textId="77777777" w:rsidR="00E30D53" w:rsidRPr="007B4286" w:rsidRDefault="00E30D53" w:rsidP="008D1A7C">
            <w:pPr>
              <w:ind w:left="426" w:hanging="426"/>
              <w:jc w:val="center"/>
            </w:pPr>
            <w:r>
              <w:t>od 5,35</w:t>
            </w:r>
          </w:p>
        </w:tc>
      </w:tr>
      <w:tr w:rsidR="00E30D53" w:rsidRPr="007B4286" w14:paraId="27D443FF" w14:textId="77777777" w:rsidTr="008D1A7C">
        <w:trPr>
          <w:trHeight w:val="397"/>
        </w:trPr>
        <w:tc>
          <w:tcPr>
            <w:tcW w:w="2835" w:type="dxa"/>
            <w:vAlign w:val="center"/>
          </w:tcPr>
          <w:p w14:paraId="532A4D68" w14:textId="77777777" w:rsidR="00E30D53" w:rsidRPr="007B4286" w:rsidRDefault="00E30D53" w:rsidP="008D1A7C">
            <w:pPr>
              <w:ind w:left="426" w:hanging="426"/>
              <w:jc w:val="center"/>
            </w:pPr>
            <w:r>
              <w:t>b</w:t>
            </w:r>
            <w:r w:rsidRPr="007B4286">
              <w:t>ardzo dobry</w:t>
            </w:r>
          </w:p>
        </w:tc>
        <w:tc>
          <w:tcPr>
            <w:tcW w:w="2977" w:type="dxa"/>
            <w:vAlign w:val="center"/>
          </w:tcPr>
          <w:p w14:paraId="18E86E18" w14:textId="77777777" w:rsidR="00E30D53" w:rsidRPr="007B4286" w:rsidRDefault="00E30D53" w:rsidP="008D1A7C">
            <w:pPr>
              <w:ind w:left="426" w:hanging="426"/>
              <w:jc w:val="center"/>
            </w:pPr>
            <w:r>
              <w:t>od 4,60</w:t>
            </w:r>
          </w:p>
        </w:tc>
      </w:tr>
      <w:tr w:rsidR="00E30D53" w:rsidRPr="007B4286" w14:paraId="27671B72" w14:textId="77777777" w:rsidTr="008D1A7C">
        <w:trPr>
          <w:trHeight w:val="397"/>
        </w:trPr>
        <w:tc>
          <w:tcPr>
            <w:tcW w:w="2835" w:type="dxa"/>
            <w:vAlign w:val="center"/>
          </w:tcPr>
          <w:p w14:paraId="154146BC" w14:textId="77777777" w:rsidR="00E30D53" w:rsidRPr="007B4286" w:rsidRDefault="00E30D53" w:rsidP="008D1A7C">
            <w:pPr>
              <w:ind w:left="426" w:hanging="426"/>
              <w:jc w:val="center"/>
            </w:pPr>
            <w:r>
              <w:t>d</w:t>
            </w:r>
            <w:r w:rsidRPr="007B4286">
              <w:t>obry</w:t>
            </w:r>
          </w:p>
        </w:tc>
        <w:tc>
          <w:tcPr>
            <w:tcW w:w="2977" w:type="dxa"/>
            <w:vAlign w:val="center"/>
          </w:tcPr>
          <w:p w14:paraId="04435D83" w14:textId="77777777" w:rsidR="00E30D53" w:rsidRPr="007B4286" w:rsidRDefault="00E30D53" w:rsidP="008D1A7C">
            <w:pPr>
              <w:ind w:left="426" w:hanging="426"/>
              <w:jc w:val="center"/>
            </w:pPr>
            <w:r>
              <w:t>od 3,60</w:t>
            </w:r>
          </w:p>
        </w:tc>
      </w:tr>
      <w:tr w:rsidR="00E30D53" w:rsidRPr="007B4286" w14:paraId="4B4222D6" w14:textId="77777777" w:rsidTr="008D1A7C">
        <w:trPr>
          <w:trHeight w:val="397"/>
        </w:trPr>
        <w:tc>
          <w:tcPr>
            <w:tcW w:w="2835" w:type="dxa"/>
            <w:vAlign w:val="center"/>
          </w:tcPr>
          <w:p w14:paraId="3994A860" w14:textId="77777777" w:rsidR="00E30D53" w:rsidRPr="007B4286" w:rsidRDefault="00E30D53" w:rsidP="008D1A7C">
            <w:pPr>
              <w:ind w:left="426" w:hanging="426"/>
              <w:jc w:val="center"/>
            </w:pPr>
            <w:r>
              <w:t>d</w:t>
            </w:r>
            <w:r w:rsidRPr="007B4286">
              <w:t>ostateczny</w:t>
            </w:r>
          </w:p>
        </w:tc>
        <w:tc>
          <w:tcPr>
            <w:tcW w:w="2977" w:type="dxa"/>
            <w:vAlign w:val="center"/>
          </w:tcPr>
          <w:p w14:paraId="170C3B0D" w14:textId="77777777" w:rsidR="00E30D53" w:rsidRPr="007B4286" w:rsidRDefault="00E30D53" w:rsidP="008D1A7C">
            <w:pPr>
              <w:ind w:left="426" w:hanging="426"/>
              <w:jc w:val="center"/>
            </w:pPr>
            <w:r>
              <w:t>od 2,60</w:t>
            </w:r>
          </w:p>
        </w:tc>
      </w:tr>
      <w:tr w:rsidR="00E30D53" w:rsidRPr="007B4286" w14:paraId="24518280" w14:textId="77777777" w:rsidTr="008D1A7C">
        <w:trPr>
          <w:trHeight w:val="397"/>
        </w:trPr>
        <w:tc>
          <w:tcPr>
            <w:tcW w:w="2835" w:type="dxa"/>
            <w:vAlign w:val="center"/>
          </w:tcPr>
          <w:p w14:paraId="433F3FA9" w14:textId="77777777" w:rsidR="00E30D53" w:rsidRPr="007B4286" w:rsidRDefault="00E30D53" w:rsidP="008D1A7C">
            <w:pPr>
              <w:ind w:left="426" w:hanging="426"/>
              <w:jc w:val="center"/>
            </w:pPr>
            <w:r>
              <w:t>d</w:t>
            </w:r>
            <w:r w:rsidRPr="007B4286">
              <w:t>opuszczający</w:t>
            </w:r>
          </w:p>
        </w:tc>
        <w:tc>
          <w:tcPr>
            <w:tcW w:w="2977" w:type="dxa"/>
            <w:vAlign w:val="center"/>
          </w:tcPr>
          <w:p w14:paraId="6C7A2104" w14:textId="77777777" w:rsidR="00E30D53" w:rsidRPr="007B4286" w:rsidRDefault="00E30D53" w:rsidP="008D1A7C">
            <w:pPr>
              <w:ind w:left="426" w:hanging="426"/>
              <w:jc w:val="center"/>
            </w:pPr>
            <w:r>
              <w:t>od 1,80</w:t>
            </w:r>
          </w:p>
        </w:tc>
      </w:tr>
      <w:tr w:rsidR="00E30D53" w:rsidRPr="007B4286" w14:paraId="3B4CFA1F" w14:textId="77777777" w:rsidTr="008D1A7C">
        <w:trPr>
          <w:trHeight w:val="397"/>
        </w:trPr>
        <w:tc>
          <w:tcPr>
            <w:tcW w:w="2835" w:type="dxa"/>
            <w:vAlign w:val="center"/>
          </w:tcPr>
          <w:p w14:paraId="66083FA4" w14:textId="77777777" w:rsidR="00E30D53" w:rsidRPr="007B4286" w:rsidRDefault="00E30D53" w:rsidP="008D1A7C">
            <w:pPr>
              <w:ind w:left="426" w:hanging="426"/>
              <w:jc w:val="center"/>
            </w:pPr>
            <w:r>
              <w:t>n</w:t>
            </w:r>
            <w:r w:rsidRPr="007B4286">
              <w:t>iedostateczny</w:t>
            </w:r>
          </w:p>
        </w:tc>
        <w:tc>
          <w:tcPr>
            <w:tcW w:w="2977" w:type="dxa"/>
            <w:vAlign w:val="center"/>
          </w:tcPr>
          <w:p w14:paraId="657E59EE" w14:textId="77777777" w:rsidR="00E30D53" w:rsidRPr="007B4286" w:rsidRDefault="00E30D53" w:rsidP="008D1A7C">
            <w:pPr>
              <w:ind w:left="426" w:hanging="426"/>
              <w:jc w:val="center"/>
            </w:pPr>
            <w:r>
              <w:t>1,79 i poniżej</w:t>
            </w:r>
          </w:p>
        </w:tc>
      </w:tr>
    </w:tbl>
    <w:p w14:paraId="13243801" w14:textId="77777777" w:rsidR="00E30D53" w:rsidRDefault="00E30D53" w:rsidP="00E30D53">
      <w:pPr>
        <w:pStyle w:val="Akapitzlist"/>
        <w:ind w:left="426" w:hanging="426"/>
        <w:jc w:val="both"/>
      </w:pPr>
    </w:p>
    <w:p w14:paraId="6F852F70" w14:textId="77777777" w:rsidR="00E30D53" w:rsidRDefault="00E30D53" w:rsidP="00E30D53">
      <w:pPr>
        <w:pStyle w:val="Akapitzlist"/>
        <w:ind w:left="426" w:hanging="426"/>
        <w:jc w:val="both"/>
      </w:pPr>
      <w:r>
        <w:t xml:space="preserve">5. Ocenę celującą śródroczną, roczną/końcową z przedmiotu otrzymuje uczeń, który uzyskał tytuł laureata lub finalisty etapu centralnego jednego z konkursów lub olimpiady przedmiotowej. </w:t>
      </w:r>
    </w:p>
    <w:p w14:paraId="6379DAEA" w14:textId="77777777" w:rsidR="00E30D53" w:rsidRPr="001F459D" w:rsidRDefault="00E30D53" w:rsidP="00E30D53">
      <w:pPr>
        <w:pStyle w:val="Akapitzlist"/>
        <w:ind w:left="426" w:hanging="426"/>
        <w:jc w:val="both"/>
      </w:pPr>
      <w:r>
        <w:t>6. Nauczyciel może podwyższyć ocenę roczną/końcową biorąc pod uwagę systematyczność, zaangażowanie, frekwencję na zajęciach w ciągu całego roku szkolnego.</w:t>
      </w:r>
    </w:p>
    <w:p w14:paraId="03DA8E31" w14:textId="77777777" w:rsidR="00E30D53" w:rsidRPr="00437050" w:rsidRDefault="00E30D53" w:rsidP="00437050">
      <w:pPr>
        <w:spacing w:line="120" w:lineRule="atLeast"/>
        <w:jc w:val="both"/>
        <w:rPr>
          <w:rFonts w:asciiTheme="majorHAnsi" w:hAnsiTheme="majorHAnsi"/>
          <w:b/>
          <w:bCs/>
          <w:sz w:val="22"/>
          <w:szCs w:val="22"/>
        </w:rPr>
      </w:pPr>
    </w:p>
    <w:sectPr w:rsidR="00E30D53" w:rsidRPr="00437050" w:rsidSect="00437050">
      <w:footerReference w:type="even" r:id="rId31"/>
      <w:footerReference w:type="default" r:id="rId32"/>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9034" w14:textId="77777777" w:rsidR="00EE7709" w:rsidRDefault="00EE7709">
      <w:r>
        <w:separator/>
      </w:r>
    </w:p>
  </w:endnote>
  <w:endnote w:type="continuationSeparator" w:id="0">
    <w:p w14:paraId="38B21706" w14:textId="77777777" w:rsidR="00EE7709" w:rsidRDefault="00E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EE"/>
    <w:family w:val="auto"/>
    <w:pitch w:val="variable"/>
    <w:sig w:usb0="00000001"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2D5" w14:textId="77777777" w:rsidR="00761E37" w:rsidRDefault="00761E37" w:rsidP="00D62C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F4027" w14:textId="77777777" w:rsidR="00761E37" w:rsidRDefault="00761E37" w:rsidP="00D62C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3E5" w14:textId="5EC0F7BA" w:rsidR="00761E37" w:rsidRDefault="00761E37" w:rsidP="00D62CBA">
    <w:pPr>
      <w:pStyle w:val="Stopka"/>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8CF8" w14:textId="77777777" w:rsidR="00EE7709" w:rsidRDefault="00EE7709">
      <w:r>
        <w:separator/>
      </w:r>
    </w:p>
  </w:footnote>
  <w:footnote w:type="continuationSeparator" w:id="0">
    <w:p w14:paraId="7A6104FA" w14:textId="77777777" w:rsidR="00EE7709" w:rsidRDefault="00E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80A40"/>
    <w:multiLevelType w:val="multilevel"/>
    <w:tmpl w:val="B62A112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9" w15:restartNumberingAfterBreak="0">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9"/>
  </w:num>
  <w:num w:numId="4">
    <w:abstractNumId w:val="4"/>
  </w:num>
  <w:num w:numId="5">
    <w:abstractNumId w:val="3"/>
  </w:num>
  <w:num w:numId="6">
    <w:abstractNumId w:val="6"/>
  </w:num>
  <w:num w:numId="7">
    <w:abstractNumId w:val="14"/>
  </w:num>
  <w:num w:numId="8">
    <w:abstractNumId w:val="8"/>
  </w:num>
  <w:num w:numId="9">
    <w:abstractNumId w:val="11"/>
  </w:num>
  <w:num w:numId="10">
    <w:abstractNumId w:val="9"/>
  </w:num>
  <w:num w:numId="11">
    <w:abstractNumId w:val="18"/>
  </w:num>
  <w:num w:numId="12">
    <w:abstractNumId w:val="13"/>
  </w:num>
  <w:num w:numId="13">
    <w:abstractNumId w:val="12"/>
  </w:num>
  <w:num w:numId="14">
    <w:abstractNumId w:val="7"/>
  </w:num>
  <w:num w:numId="15">
    <w:abstractNumId w:val="1"/>
  </w:num>
  <w:num w:numId="16">
    <w:abstractNumId w:val="0"/>
  </w:num>
  <w:num w:numId="17">
    <w:abstractNumId w:val="17"/>
  </w:num>
  <w:num w:numId="18">
    <w:abstractNumId w:val="10"/>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44"/>
    <w:rsid w:val="00000738"/>
    <w:rsid w:val="0000417E"/>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C3BBD"/>
    <w:rsid w:val="007C5CAF"/>
    <w:rsid w:val="007E59B6"/>
    <w:rsid w:val="007F4CD4"/>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D53"/>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E7709"/>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C0214"/>
  <w15:docId w15:val="{9E0B4C22-F47D-469F-9710-20C7DF1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 w:type="paragraph" w:styleId="Akapitzlist">
    <w:name w:val="List Paragraph"/>
    <w:basedOn w:val="Normalny"/>
    <w:uiPriority w:val="34"/>
    <w:qFormat/>
    <w:rsid w:val="00E30D53"/>
    <w:pPr>
      <w:ind w:left="720"/>
      <w:contextualSpacing/>
    </w:pPr>
  </w:style>
  <w:style w:type="table" w:styleId="Tabela-Siatka">
    <w:name w:val="Table Grid"/>
    <w:basedOn w:val="Standardowy"/>
    <w:uiPriority w:val="39"/>
    <w:rsid w:val="00E30D5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C3FF-EFA6-4C15-B4BD-C7390A88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3162</Words>
  <Characters>18973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B W</cp:lastModifiedBy>
  <cp:revision>3</cp:revision>
  <cp:lastPrinted>2007-07-18T08:53:00Z</cp:lastPrinted>
  <dcterms:created xsi:type="dcterms:W3CDTF">2021-09-01T11:10:00Z</dcterms:created>
  <dcterms:modified xsi:type="dcterms:W3CDTF">2021-09-01T11:11:00Z</dcterms:modified>
</cp:coreProperties>
</file>